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13"/>
        <w:tblW w:w="0" w:type="auto"/>
        <w:tblLook w:val="04A0" w:firstRow="1" w:lastRow="0" w:firstColumn="1" w:lastColumn="0" w:noHBand="0" w:noVBand="1"/>
      </w:tblPr>
      <w:tblGrid>
        <w:gridCol w:w="7751"/>
        <w:gridCol w:w="1311"/>
      </w:tblGrid>
      <w:tr w:rsidR="002C7F2F" w:rsidRPr="002C7F2F" w:rsidTr="00E751F5">
        <w:tc>
          <w:tcPr>
            <w:tcW w:w="7751" w:type="dxa"/>
          </w:tcPr>
          <w:p w:rsidR="002C7F2F" w:rsidRPr="002C7F2F" w:rsidRDefault="002C7F2F" w:rsidP="002C7F2F">
            <w:pPr>
              <w:rPr>
                <w:rFonts w:ascii="Arial" w:hAnsi="Arial" w:cs="Arial"/>
                <w:sz w:val="24"/>
                <w:szCs w:val="24"/>
              </w:rPr>
            </w:pPr>
            <w:r w:rsidRPr="002C7F2F">
              <w:rPr>
                <w:rFonts w:ascii="Arial" w:hAnsi="Arial" w:cs="Arial"/>
                <w:sz w:val="24"/>
                <w:szCs w:val="24"/>
              </w:rPr>
              <w:t>Prävention von Haut-  und Weichteilinfektionen Druckgeschwüre</w:t>
            </w:r>
          </w:p>
        </w:tc>
        <w:tc>
          <w:tcPr>
            <w:tcW w:w="1311" w:type="dxa"/>
          </w:tcPr>
          <w:p w:rsidR="002C7F2F" w:rsidRPr="002C7F2F" w:rsidRDefault="002C7F2F" w:rsidP="002C7F2F">
            <w:pPr>
              <w:jc w:val="center"/>
              <w:rPr>
                <w:rFonts w:ascii="Arial" w:hAnsi="Arial" w:cs="Arial"/>
                <w:sz w:val="24"/>
                <w:szCs w:val="24"/>
              </w:rPr>
            </w:pPr>
            <w:r w:rsidRPr="002C7F2F">
              <w:rPr>
                <w:rFonts w:ascii="Arial" w:hAnsi="Arial" w:cs="Arial"/>
                <w:sz w:val="24"/>
                <w:szCs w:val="24"/>
              </w:rPr>
              <w:t>O2R11.15</w:t>
            </w:r>
          </w:p>
        </w:tc>
      </w:tr>
    </w:tbl>
    <w:p w:rsidR="002C7F2F" w:rsidRPr="002C7F2F" w:rsidRDefault="002C7F2F" w:rsidP="002C7F2F">
      <w:pPr>
        <w:spacing w:after="0"/>
        <w:jc w:val="both"/>
        <w:rPr>
          <w:rFonts w:ascii="Arial" w:hAnsi="Arial" w:cs="Arial"/>
          <w:sz w:val="24"/>
          <w:szCs w:val="24"/>
        </w:rPr>
      </w:pPr>
      <w:bookmarkStart w:id="0" w:name="_GoBack"/>
      <w:bookmarkEnd w:id="0"/>
    </w:p>
    <w:p w:rsidR="002C7F2F" w:rsidRPr="002C7F2F" w:rsidRDefault="002C7F2F" w:rsidP="002C7F2F">
      <w:pPr>
        <w:spacing w:after="0"/>
        <w:jc w:val="both"/>
        <w:rPr>
          <w:rFonts w:ascii="Arial" w:hAnsi="Arial" w:cs="Arial"/>
          <w:b/>
          <w:sz w:val="24"/>
          <w:szCs w:val="24"/>
        </w:rPr>
      </w:pPr>
      <w:r w:rsidRPr="002C7F2F">
        <w:rPr>
          <w:rFonts w:ascii="Arial" w:hAnsi="Arial" w:cs="Arial"/>
          <w:b/>
          <w:sz w:val="24"/>
          <w:szCs w:val="24"/>
        </w:rPr>
        <w:t>Druckgeschwüre</w:t>
      </w:r>
    </w:p>
    <w:p w:rsidR="002C7F2F" w:rsidRPr="002C7F2F" w:rsidRDefault="002C7F2F" w:rsidP="002C7F2F">
      <w:pPr>
        <w:spacing w:after="0"/>
        <w:jc w:val="both"/>
        <w:rPr>
          <w:rFonts w:ascii="Arial" w:hAnsi="Arial" w:cs="Arial"/>
          <w:sz w:val="24"/>
          <w:szCs w:val="24"/>
        </w:rPr>
      </w:pPr>
    </w:p>
    <w:p w:rsidR="002C7F2F" w:rsidRPr="002C7F2F" w:rsidRDefault="002C7F2F" w:rsidP="002C7F2F">
      <w:pPr>
        <w:spacing w:after="0"/>
        <w:jc w:val="both"/>
        <w:rPr>
          <w:rFonts w:ascii="Arial" w:hAnsi="Arial" w:cs="Arial"/>
          <w:sz w:val="24"/>
          <w:szCs w:val="24"/>
        </w:rPr>
      </w:pPr>
      <w:r w:rsidRPr="002C7F2F">
        <w:rPr>
          <w:rFonts w:ascii="Arial" w:hAnsi="Arial" w:cs="Arial"/>
          <w:sz w:val="24"/>
          <w:szCs w:val="24"/>
        </w:rPr>
        <w:t>Druckgeschwüre (</w:t>
      </w:r>
      <w:proofErr w:type="spellStart"/>
      <w:r w:rsidRPr="002C7F2F">
        <w:rPr>
          <w:rFonts w:ascii="Arial" w:hAnsi="Arial" w:cs="Arial"/>
          <w:sz w:val="24"/>
          <w:szCs w:val="24"/>
        </w:rPr>
        <w:t>Decubitalulcera</w:t>
      </w:r>
      <w:proofErr w:type="spellEnd"/>
      <w:r w:rsidRPr="002C7F2F">
        <w:rPr>
          <w:rFonts w:ascii="Arial" w:hAnsi="Arial" w:cs="Arial"/>
          <w:sz w:val="24"/>
          <w:szCs w:val="24"/>
        </w:rPr>
        <w:t xml:space="preserve">) sind die häufigste Ursache von Haut- und Weichteilinfektionen in Pflegeheimen und treten bei bis zu 20% der dort versorgten Personen mit der Gefahr einer daraus resultierenden Osteomyelitis oder Sepsis auf. </w:t>
      </w:r>
    </w:p>
    <w:p w:rsidR="002C7F2F" w:rsidRPr="002C7F2F" w:rsidRDefault="002C7F2F" w:rsidP="002C7F2F">
      <w:pPr>
        <w:spacing w:after="0"/>
        <w:jc w:val="both"/>
        <w:rPr>
          <w:rFonts w:ascii="Arial" w:hAnsi="Arial" w:cs="Arial"/>
          <w:sz w:val="24"/>
          <w:szCs w:val="24"/>
        </w:rPr>
      </w:pPr>
    </w:p>
    <w:p w:rsidR="002C7F2F" w:rsidRPr="002C7F2F" w:rsidRDefault="002C7F2F" w:rsidP="002C7F2F">
      <w:pPr>
        <w:spacing w:after="0"/>
        <w:jc w:val="both"/>
        <w:rPr>
          <w:rFonts w:ascii="Arial" w:hAnsi="Arial" w:cs="Arial"/>
          <w:sz w:val="24"/>
          <w:szCs w:val="24"/>
        </w:rPr>
      </w:pPr>
      <w:r w:rsidRPr="002C7F2F">
        <w:rPr>
          <w:rFonts w:ascii="Arial" w:hAnsi="Arial" w:cs="Arial"/>
          <w:sz w:val="24"/>
          <w:szCs w:val="24"/>
        </w:rPr>
        <w:t xml:space="preserve">Neben den bekannten Risikofaktoren für eine Besiedlung mit Krankheitserregern spielen für die Entwicklung von </w:t>
      </w:r>
      <w:proofErr w:type="spellStart"/>
      <w:r w:rsidRPr="002C7F2F">
        <w:rPr>
          <w:rFonts w:ascii="Arial" w:hAnsi="Arial" w:cs="Arial"/>
          <w:sz w:val="24"/>
          <w:szCs w:val="24"/>
        </w:rPr>
        <w:t>Decubitalulcera</w:t>
      </w:r>
      <w:proofErr w:type="spellEnd"/>
      <w:r w:rsidRPr="002C7F2F">
        <w:rPr>
          <w:rFonts w:ascii="Arial" w:hAnsi="Arial" w:cs="Arial"/>
          <w:sz w:val="24"/>
          <w:szCs w:val="24"/>
        </w:rPr>
        <w:t xml:space="preserve"> Immobilität, Druck, Zug, Scherkräfte, Feuchtigkeit, Inkontinenz, Steroidtherapie, schlechter Ernährungszustand sowie </w:t>
      </w:r>
      <w:proofErr w:type="spellStart"/>
      <w:r w:rsidRPr="002C7F2F">
        <w:rPr>
          <w:rFonts w:ascii="Arial" w:hAnsi="Arial" w:cs="Arial"/>
          <w:sz w:val="24"/>
          <w:szCs w:val="24"/>
        </w:rPr>
        <w:t>Exsikose</w:t>
      </w:r>
      <w:proofErr w:type="spellEnd"/>
      <w:r w:rsidRPr="002C7F2F">
        <w:rPr>
          <w:rFonts w:ascii="Arial" w:hAnsi="Arial" w:cs="Arial"/>
          <w:sz w:val="24"/>
          <w:szCs w:val="24"/>
        </w:rPr>
        <w:t xml:space="preserve"> eine wichtige Rolle. </w:t>
      </w:r>
    </w:p>
    <w:p w:rsidR="002C7F2F" w:rsidRPr="002C7F2F" w:rsidRDefault="002C7F2F" w:rsidP="002C7F2F">
      <w:pPr>
        <w:spacing w:after="0"/>
        <w:jc w:val="both"/>
        <w:rPr>
          <w:rFonts w:ascii="Arial" w:hAnsi="Arial" w:cs="Arial"/>
          <w:sz w:val="24"/>
          <w:szCs w:val="24"/>
        </w:rPr>
      </w:pPr>
    </w:p>
    <w:p w:rsidR="002C7F2F" w:rsidRPr="002C7F2F" w:rsidRDefault="002C7F2F" w:rsidP="002C7F2F">
      <w:pPr>
        <w:spacing w:after="0"/>
        <w:jc w:val="both"/>
        <w:rPr>
          <w:rFonts w:ascii="Arial" w:hAnsi="Arial" w:cs="Arial"/>
          <w:sz w:val="24"/>
          <w:szCs w:val="24"/>
        </w:rPr>
      </w:pPr>
      <w:r w:rsidRPr="002C7F2F">
        <w:rPr>
          <w:rFonts w:ascii="Arial" w:hAnsi="Arial" w:cs="Arial"/>
          <w:sz w:val="24"/>
          <w:szCs w:val="24"/>
        </w:rPr>
        <w:t xml:space="preserve">Chronische Ulcera können mit einer Vielzahl verschiedener Erreger besiedelt und über lange Zeit ein Reservoir für multiresistente Erreger, insbesondere MRSA, sein. Bei </w:t>
      </w:r>
      <w:proofErr w:type="spellStart"/>
      <w:r w:rsidRPr="002C7F2F">
        <w:rPr>
          <w:rFonts w:ascii="Arial" w:hAnsi="Arial" w:cs="Arial"/>
          <w:sz w:val="24"/>
          <w:szCs w:val="24"/>
        </w:rPr>
        <w:t>Decubitus</w:t>
      </w:r>
      <w:proofErr w:type="spellEnd"/>
      <w:r w:rsidRPr="002C7F2F">
        <w:rPr>
          <w:rFonts w:ascii="Arial" w:hAnsi="Arial" w:cs="Arial"/>
          <w:sz w:val="24"/>
          <w:szCs w:val="24"/>
        </w:rPr>
        <w:t xml:space="preserve">-gefährdeten Bewohnern muss alles getan werden, um einen </w:t>
      </w:r>
      <w:proofErr w:type="spellStart"/>
      <w:r w:rsidRPr="002C7F2F">
        <w:rPr>
          <w:rFonts w:ascii="Arial" w:hAnsi="Arial" w:cs="Arial"/>
          <w:sz w:val="24"/>
          <w:szCs w:val="24"/>
        </w:rPr>
        <w:t>Decubitus</w:t>
      </w:r>
      <w:proofErr w:type="spellEnd"/>
      <w:r w:rsidRPr="002C7F2F">
        <w:rPr>
          <w:rFonts w:ascii="Arial" w:hAnsi="Arial" w:cs="Arial"/>
          <w:sz w:val="24"/>
          <w:szCs w:val="24"/>
        </w:rPr>
        <w:t xml:space="preserve"> zu vermeiden, seine frühzeitige Entwicklung zu erkennen und seine Ausbildung im Anfangsstadium zu verhindern. Dazu gehören die Erstellung eigener Pflegestandards auf der Basis der Empfehlungen der einschlägigen Fachgesellschaften und die rechtzeitige Verwendung von Spezialbetten /-matratzen zur Verhinderung von </w:t>
      </w:r>
      <w:proofErr w:type="spellStart"/>
      <w:r w:rsidRPr="002C7F2F">
        <w:rPr>
          <w:rFonts w:ascii="Arial" w:hAnsi="Arial" w:cs="Arial"/>
          <w:sz w:val="24"/>
          <w:szCs w:val="24"/>
        </w:rPr>
        <w:t>Decubitalulcera</w:t>
      </w:r>
      <w:proofErr w:type="spellEnd"/>
      <w:r w:rsidRPr="002C7F2F">
        <w:rPr>
          <w:rFonts w:ascii="Arial" w:hAnsi="Arial" w:cs="Arial"/>
          <w:sz w:val="24"/>
          <w:szCs w:val="24"/>
        </w:rPr>
        <w:t>.</w:t>
      </w:r>
    </w:p>
    <w:p w:rsidR="002C7F2F" w:rsidRPr="002C7F2F" w:rsidRDefault="002C7F2F" w:rsidP="002C7F2F">
      <w:pPr>
        <w:spacing w:after="0"/>
        <w:jc w:val="both"/>
        <w:rPr>
          <w:rFonts w:ascii="Arial" w:hAnsi="Arial" w:cs="Arial"/>
          <w:sz w:val="24"/>
          <w:szCs w:val="24"/>
        </w:rPr>
      </w:pPr>
    </w:p>
    <w:p w:rsidR="002C7F2F" w:rsidRPr="002C7F2F" w:rsidRDefault="002C7F2F" w:rsidP="002C7F2F">
      <w:pPr>
        <w:spacing w:after="0"/>
        <w:jc w:val="both"/>
        <w:rPr>
          <w:rFonts w:ascii="Arial" w:hAnsi="Arial" w:cs="Arial"/>
          <w:sz w:val="24"/>
          <w:szCs w:val="24"/>
        </w:rPr>
      </w:pPr>
      <w:r w:rsidRPr="002C7F2F">
        <w:rPr>
          <w:rFonts w:ascii="Arial" w:hAnsi="Arial" w:cs="Arial"/>
          <w:sz w:val="24"/>
          <w:szCs w:val="24"/>
        </w:rPr>
        <w:t xml:space="preserve">Krätzmilbe. Auf die Krätzmilbe als Infektionserreger der </w:t>
      </w:r>
      <w:proofErr w:type="spellStart"/>
      <w:r w:rsidRPr="002C7F2F">
        <w:rPr>
          <w:rFonts w:ascii="Arial" w:hAnsi="Arial" w:cs="Arial"/>
          <w:sz w:val="24"/>
          <w:szCs w:val="24"/>
        </w:rPr>
        <w:t>Scabies</w:t>
      </w:r>
      <w:proofErr w:type="spellEnd"/>
      <w:r w:rsidRPr="002C7F2F">
        <w:rPr>
          <w:rFonts w:ascii="Arial" w:hAnsi="Arial" w:cs="Arial"/>
          <w:sz w:val="24"/>
          <w:szCs w:val="24"/>
        </w:rPr>
        <w:t xml:space="preserve"> ist besonderes Augenmerk zu richten. Die </w:t>
      </w:r>
      <w:proofErr w:type="spellStart"/>
      <w:r w:rsidRPr="002C7F2F">
        <w:rPr>
          <w:rFonts w:ascii="Arial" w:hAnsi="Arial" w:cs="Arial"/>
          <w:sz w:val="24"/>
          <w:szCs w:val="24"/>
        </w:rPr>
        <w:t>Scabies</w:t>
      </w:r>
      <w:proofErr w:type="spellEnd"/>
      <w:r w:rsidRPr="002C7F2F">
        <w:rPr>
          <w:rFonts w:ascii="Arial" w:hAnsi="Arial" w:cs="Arial"/>
          <w:sz w:val="24"/>
          <w:szCs w:val="24"/>
        </w:rPr>
        <w:t xml:space="preserve"> ist eine kontagiöse Hauterkrankung und kann auch in Alten- und Pflegeheimen zu Problemen führen. In den letzten Jahren wurde wiederholt über epidemische Verbreitungen von </w:t>
      </w:r>
      <w:proofErr w:type="spellStart"/>
      <w:r w:rsidRPr="002C7F2F">
        <w:rPr>
          <w:rFonts w:ascii="Arial" w:hAnsi="Arial" w:cs="Arial"/>
          <w:sz w:val="24"/>
          <w:szCs w:val="24"/>
        </w:rPr>
        <w:t>Scabies</w:t>
      </w:r>
      <w:proofErr w:type="spellEnd"/>
      <w:r w:rsidRPr="002C7F2F">
        <w:rPr>
          <w:rFonts w:ascii="Arial" w:hAnsi="Arial" w:cs="Arial"/>
          <w:sz w:val="24"/>
          <w:szCs w:val="24"/>
        </w:rPr>
        <w:t xml:space="preserve"> in Heimen mit einer hohen </w:t>
      </w:r>
      <w:proofErr w:type="spellStart"/>
      <w:r w:rsidRPr="002C7F2F">
        <w:rPr>
          <w:rFonts w:ascii="Arial" w:hAnsi="Arial" w:cs="Arial"/>
          <w:sz w:val="24"/>
          <w:szCs w:val="24"/>
        </w:rPr>
        <w:t>Befallsrate</w:t>
      </w:r>
      <w:proofErr w:type="spellEnd"/>
      <w:r w:rsidRPr="002C7F2F">
        <w:rPr>
          <w:rFonts w:ascii="Arial" w:hAnsi="Arial" w:cs="Arial"/>
          <w:sz w:val="24"/>
          <w:szCs w:val="24"/>
        </w:rPr>
        <w:t xml:space="preserve"> unter Bewohnern und Personal und langer Persistenz berichtet. </w:t>
      </w:r>
    </w:p>
    <w:p w:rsidR="002C7F2F" w:rsidRPr="002C7F2F" w:rsidRDefault="002C7F2F" w:rsidP="002C7F2F">
      <w:pPr>
        <w:spacing w:after="0"/>
        <w:jc w:val="both"/>
        <w:rPr>
          <w:rFonts w:ascii="Arial" w:hAnsi="Arial" w:cs="Arial"/>
          <w:sz w:val="24"/>
          <w:szCs w:val="24"/>
        </w:rPr>
      </w:pPr>
    </w:p>
    <w:p w:rsidR="0022580B" w:rsidRPr="0022580B" w:rsidRDefault="002C7F2F" w:rsidP="002C7F2F">
      <w:pPr>
        <w:rPr>
          <w:rFonts w:ascii="Arial" w:hAnsi="Arial" w:cs="Arial"/>
          <w:sz w:val="24"/>
          <w:szCs w:val="24"/>
          <w:lang w:bidi="hi-IN"/>
        </w:rPr>
      </w:pPr>
      <w:r w:rsidRPr="002C7F2F">
        <w:rPr>
          <w:rFonts w:ascii="Arial" w:hAnsi="Arial" w:cs="Arial"/>
          <w:sz w:val="24"/>
          <w:szCs w:val="24"/>
        </w:rPr>
        <w:t xml:space="preserve">Ist beim Auftreten von juckenden Hautläsionen auch der begründete Verdacht auf eine </w:t>
      </w:r>
      <w:proofErr w:type="spellStart"/>
      <w:r w:rsidRPr="002C7F2F">
        <w:rPr>
          <w:rFonts w:ascii="Arial" w:hAnsi="Arial" w:cs="Arial"/>
          <w:sz w:val="24"/>
          <w:szCs w:val="24"/>
        </w:rPr>
        <w:t>Scabies</w:t>
      </w:r>
      <w:proofErr w:type="spellEnd"/>
      <w:r w:rsidRPr="002C7F2F">
        <w:rPr>
          <w:rFonts w:ascii="Arial" w:hAnsi="Arial" w:cs="Arial"/>
          <w:sz w:val="24"/>
          <w:szCs w:val="24"/>
        </w:rPr>
        <w:t xml:space="preserve"> gegeben, sind neben der Veranlassung einer fachärztlichen dermatologischen Untersuchung die notwendigen Hygienemaßnahmen einzuleiten. Hierzu wird auf die einschlägigen Merkblätter des RKI und der Gesundheitsbehörden der Länder verwiesen.</w:t>
      </w:r>
    </w:p>
    <w:sectPr w:rsidR="0022580B" w:rsidRPr="0022580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Fallback">
    <w:altName w:val="Times New Roman"/>
    <w:charset w:val="00"/>
    <w:family w:val="auto"/>
    <w:pitch w:val="variable"/>
  </w:font>
  <w:font w:name="Lohit Hindi">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A6C"/>
    <w:rsid w:val="00032C85"/>
    <w:rsid w:val="000335A9"/>
    <w:rsid w:val="00085691"/>
    <w:rsid w:val="000B5DF3"/>
    <w:rsid w:val="000D2A43"/>
    <w:rsid w:val="000F2068"/>
    <w:rsid w:val="000F5053"/>
    <w:rsid w:val="000F5890"/>
    <w:rsid w:val="00107F85"/>
    <w:rsid w:val="001205B9"/>
    <w:rsid w:val="00151324"/>
    <w:rsid w:val="0015282A"/>
    <w:rsid w:val="001C6FAA"/>
    <w:rsid w:val="00201E2B"/>
    <w:rsid w:val="0022580B"/>
    <w:rsid w:val="00237E0B"/>
    <w:rsid w:val="00252038"/>
    <w:rsid w:val="002C541A"/>
    <w:rsid w:val="002C7F2F"/>
    <w:rsid w:val="002F2E02"/>
    <w:rsid w:val="0032264B"/>
    <w:rsid w:val="00377240"/>
    <w:rsid w:val="003C1EC6"/>
    <w:rsid w:val="003F2BE2"/>
    <w:rsid w:val="0042321D"/>
    <w:rsid w:val="004E5F64"/>
    <w:rsid w:val="004F5847"/>
    <w:rsid w:val="00511BE2"/>
    <w:rsid w:val="005F7FF6"/>
    <w:rsid w:val="006140C7"/>
    <w:rsid w:val="006164F9"/>
    <w:rsid w:val="006A5205"/>
    <w:rsid w:val="0072715D"/>
    <w:rsid w:val="007A483C"/>
    <w:rsid w:val="008A5343"/>
    <w:rsid w:val="008B7CED"/>
    <w:rsid w:val="00914206"/>
    <w:rsid w:val="0097326A"/>
    <w:rsid w:val="009D16E0"/>
    <w:rsid w:val="009E113A"/>
    <w:rsid w:val="00A05754"/>
    <w:rsid w:val="00A2430F"/>
    <w:rsid w:val="00A26D50"/>
    <w:rsid w:val="00A51658"/>
    <w:rsid w:val="00A55977"/>
    <w:rsid w:val="00AF7E88"/>
    <w:rsid w:val="00B74126"/>
    <w:rsid w:val="00CB3A6C"/>
    <w:rsid w:val="00D06553"/>
    <w:rsid w:val="00D13407"/>
    <w:rsid w:val="00D45F89"/>
    <w:rsid w:val="00D906D2"/>
    <w:rsid w:val="00ED072D"/>
    <w:rsid w:val="00EF3A00"/>
    <w:rsid w:val="00F3054E"/>
    <w:rsid w:val="00F81B5F"/>
    <w:rsid w:val="00F97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DE558-2743-4821-8F4E-408DD76B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07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CB3A6C"/>
    <w:pPr>
      <w:widowControl w:val="0"/>
      <w:suppressAutoHyphens/>
      <w:autoSpaceDN w:val="0"/>
      <w:spacing w:after="0" w:line="240" w:lineRule="auto"/>
      <w:textAlignment w:val="baseline"/>
    </w:pPr>
    <w:rPr>
      <w:rFonts w:ascii="Arial" w:eastAsia="Droid Sans Fallback" w:hAnsi="Arial"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B3A6C"/>
    <w:pPr>
      <w:ind w:left="720"/>
      <w:contextualSpacing/>
    </w:pPr>
  </w:style>
  <w:style w:type="table" w:customStyle="1" w:styleId="Tabellenraster2">
    <w:name w:val="Tabellenraster2"/>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CB3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01E2B"/>
    <w:pPr>
      <w:spacing w:after="285" w:line="240" w:lineRule="auto"/>
    </w:pPr>
    <w:rPr>
      <w:rFonts w:ascii="Trebuchet MS" w:eastAsia="Times New Roman" w:hAnsi="Trebuchet MS" w:cs="Times New Roman"/>
      <w:sz w:val="20"/>
      <w:szCs w:val="20"/>
      <w:lang w:eastAsia="de-DE"/>
    </w:rPr>
  </w:style>
  <w:style w:type="table" w:customStyle="1" w:styleId="Tabellenraster4">
    <w:name w:val="Tabellenraster4"/>
    <w:basedOn w:val="NormaleTabelle"/>
    <w:next w:val="Tabellenraster"/>
    <w:uiPriority w:val="39"/>
    <w:rsid w:val="00032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39"/>
    <w:rsid w:val="004E5F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39"/>
    <w:rsid w:val="0022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39"/>
    <w:rsid w:val="00322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0F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F9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39"/>
    <w:rsid w:val="00377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39"/>
    <w:rsid w:val="000856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39"/>
    <w:rsid w:val="00AF7E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2C7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cp:lastPrinted>2019-04-20T15:47:00Z</cp:lastPrinted>
  <dcterms:created xsi:type="dcterms:W3CDTF">2019-04-20T17:03:00Z</dcterms:created>
  <dcterms:modified xsi:type="dcterms:W3CDTF">2019-04-20T17:03:00Z</dcterms:modified>
</cp:coreProperties>
</file>