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5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4E5F64" w:rsidRPr="004E5F64" w:rsidTr="00E751F5">
        <w:tc>
          <w:tcPr>
            <w:tcW w:w="7792" w:type="dxa"/>
          </w:tcPr>
          <w:p w:rsidR="004E5F64" w:rsidRPr="004E5F64" w:rsidRDefault="004E5F64" w:rsidP="004E5F64">
            <w:pPr>
              <w:rPr>
                <w:rFonts w:ascii="Arial" w:hAnsi="Arial" w:cs="Arial"/>
                <w:sz w:val="24"/>
                <w:szCs w:val="24"/>
              </w:rPr>
            </w:pPr>
            <w:r w:rsidRPr="004E5F64">
              <w:rPr>
                <w:rFonts w:ascii="Arial" w:hAnsi="Arial" w:cs="Arial"/>
                <w:sz w:val="24"/>
                <w:szCs w:val="24"/>
              </w:rPr>
              <w:t>Punktionen und Injektionen</w:t>
            </w:r>
          </w:p>
        </w:tc>
        <w:tc>
          <w:tcPr>
            <w:tcW w:w="1270" w:type="dxa"/>
          </w:tcPr>
          <w:p w:rsidR="004E5F64" w:rsidRPr="004E5F64" w:rsidRDefault="004E5F64" w:rsidP="004E5F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F64">
              <w:rPr>
                <w:rFonts w:ascii="Arial" w:hAnsi="Arial" w:cs="Arial"/>
                <w:sz w:val="24"/>
                <w:szCs w:val="24"/>
              </w:rPr>
              <w:t>O2R11.7</w:t>
            </w:r>
          </w:p>
        </w:tc>
      </w:tr>
    </w:tbl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Vor jeder Punktion, z. B. Blutabnahme, und Injektion (subkutan, intramuskulär, intravenös) muss eine sorgfältige Hautantiseptik mit einem alkoholischen Präparat und sterilisiertem Tupfer durchgeführt werden. 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Durch konsequent aseptische Handhabung muss eine Kontamination des Zubehörs sowie ggf. der Medikamentenlösungen ausgeschlossen werden. Aus Gründen des Personalschutzes ist das Tragen von Einmalhandschuhen erforderlich, wenn Blutkontakt möglich ist.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5F64">
        <w:rPr>
          <w:rFonts w:ascii="Arial" w:hAnsi="Arial" w:cs="Arial"/>
          <w:b/>
          <w:sz w:val="24"/>
          <w:szCs w:val="24"/>
        </w:rPr>
        <w:t>Hygienische Maßnahmen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Hygienische Händedesinfektion vor jeder Zubereitung von Injektionslösungen sowie vor jeder Punktion oder Injektion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Desinfektion der Einstichstelle mit einem alkoholischen Präparat und sterilisierten Tupfer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Tragen von Einmalhandschuhen bei möglichem Blutkontakt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E5F64">
        <w:rPr>
          <w:rFonts w:ascii="Arial" w:hAnsi="Arial" w:cs="Arial"/>
          <w:sz w:val="24"/>
          <w:szCs w:val="24"/>
        </w:rPr>
        <w:t>Eindosisbehälter</w:t>
      </w:r>
      <w:proofErr w:type="spellEnd"/>
      <w:r w:rsidRPr="004E5F64">
        <w:rPr>
          <w:rFonts w:ascii="Arial" w:hAnsi="Arial" w:cs="Arial"/>
          <w:sz w:val="24"/>
          <w:szCs w:val="24"/>
        </w:rPr>
        <w:t xml:space="preserve"> sollten bevorzugt vor Mehrdosisbehältern verwendet werden Insbesondere bei Verwendung von lipid- und proteinhaltigen Lösungen strikte Beachtung der Herstellerangaben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Gummimembran des Mehrdosisbehälters mit einem geeigneten alkoholischen Desinfektionsmittel desinfizieren, Einwirkzeit beachten (s. auch Angaben des Arzneimittelherstellers)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bei jeder Punktion des Mehrdosisbehälters müssen die Spritze und Kanüle gewechselt werden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angebrochene Mehrdosisbehälter müssen mit Datum und Uhrzeit des Erstanbruchs versehen sein 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Zumischung von Arzneimitteln bzw. Herstellung von Arzneimittelmischungen erst unmittelbar vor Injektion,</w:t>
      </w:r>
    </w:p>
    <w:p w:rsidR="004E5F64" w:rsidRPr="004E5F64" w:rsidRDefault="004E5F64" w:rsidP="004E5F64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Standzeiten und Lagerungsbedingungen sind den Herstellerangaben zu entnehmen.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Bei </w:t>
      </w:r>
      <w:proofErr w:type="spellStart"/>
      <w:r w:rsidRPr="004E5F64">
        <w:rPr>
          <w:rFonts w:ascii="Arial" w:hAnsi="Arial" w:cs="Arial"/>
          <w:sz w:val="24"/>
          <w:szCs w:val="24"/>
        </w:rPr>
        <w:t>s.c</w:t>
      </w:r>
      <w:proofErr w:type="spellEnd"/>
      <w:r w:rsidRPr="004E5F64">
        <w:rPr>
          <w:rFonts w:ascii="Arial" w:hAnsi="Arial" w:cs="Arial"/>
          <w:sz w:val="24"/>
          <w:szCs w:val="24"/>
        </w:rPr>
        <w:t xml:space="preserve">.-Insulininjektionen (mit oder ohne Pen), die der Bewohner selbst vornimmt, kann eine Hautdesinfektion unterbleiben; werden sie jedoch vom Personal vorgenommen, ist aus haftungsrechtlichen Gründen in jedem Fall eine vorherige Hautdesinfektion durchzuführen. 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Injektionsnadeln sind nach den Vorgaben des Herstellers zu verwenden und zu wechseln. Die für eine Mehrfachverwendung vorgesehenen Kanülen sind nur bei Anwendung durch den Bewohner selbst entsprechend zu handhaben. 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Personal benutzt jeweils eine neue Kanüle. Angebrochene, in Verwendung befindliche </w:t>
      </w:r>
      <w:proofErr w:type="spellStart"/>
      <w:r w:rsidRPr="004E5F64">
        <w:rPr>
          <w:rFonts w:ascii="Arial" w:hAnsi="Arial" w:cs="Arial"/>
          <w:sz w:val="24"/>
          <w:szCs w:val="24"/>
        </w:rPr>
        <w:t>Insulinpens</w:t>
      </w:r>
      <w:proofErr w:type="spellEnd"/>
      <w:r w:rsidRPr="004E5F64">
        <w:rPr>
          <w:rFonts w:ascii="Arial" w:hAnsi="Arial" w:cs="Arial"/>
          <w:sz w:val="24"/>
          <w:szCs w:val="24"/>
        </w:rPr>
        <w:t xml:space="preserve"> dürfen in der Regel nicht im Kühlschrank gelagert werden (Herstellerangaben beachten).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lastRenderedPageBreak/>
        <w:t xml:space="preserve">Bei nicht-bewohnerbezogener Anwendung sind ein Nadelwechsel nach jeder Injektion und eine vorherige Hautdesinfektion erforderlich. 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Bei bewohnerbezogener Anwendung:</w:t>
      </w:r>
    </w:p>
    <w:p w:rsidR="004E5F64" w:rsidRPr="004E5F64" w:rsidRDefault="004E5F64" w:rsidP="004E5F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5F64" w:rsidRPr="004E5F64" w:rsidRDefault="004E5F64" w:rsidP="004E5F6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täglicher Nadelwechsel, </w:t>
      </w:r>
    </w:p>
    <w:p w:rsidR="004E5F64" w:rsidRPr="004E5F64" w:rsidRDefault="004E5F64" w:rsidP="004E5F6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 xml:space="preserve">keine Hautdesinfektion erforderlich, wenn die Injektion durch den Bewohner selbst erfolgt, </w:t>
      </w:r>
    </w:p>
    <w:p w:rsidR="004E5F64" w:rsidRPr="004E5F64" w:rsidRDefault="004E5F64" w:rsidP="004E5F64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E5F64">
        <w:rPr>
          <w:rFonts w:ascii="Arial" w:hAnsi="Arial" w:cs="Arial"/>
          <w:sz w:val="24"/>
          <w:szCs w:val="24"/>
        </w:rPr>
        <w:t>Lagerung der in Gebrauch befindlichen Pens nach Angaben des Herstellers (in der Regel bei Zimmertemperatur ausreichend), Lagerung der Vorräte nach Angaben des Herstellers (in der Regel im Kühlschrank).</w:t>
      </w:r>
    </w:p>
    <w:p w:rsidR="004E5F64" w:rsidRPr="004E5F64" w:rsidRDefault="004E5F64" w:rsidP="004E5F64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3F2BE2" w:rsidRPr="004E5F64" w:rsidRDefault="003F2BE2" w:rsidP="004E5F64"/>
    <w:sectPr w:rsidR="003F2BE2" w:rsidRPr="004E5F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533"/>
    <w:multiLevelType w:val="hybridMultilevel"/>
    <w:tmpl w:val="0A9C7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747F5"/>
    <w:multiLevelType w:val="hybridMultilevel"/>
    <w:tmpl w:val="A0F0B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D2A43"/>
    <w:rsid w:val="000F5053"/>
    <w:rsid w:val="000F5890"/>
    <w:rsid w:val="00107F85"/>
    <w:rsid w:val="001205B9"/>
    <w:rsid w:val="00151324"/>
    <w:rsid w:val="0015282A"/>
    <w:rsid w:val="001C6FAA"/>
    <w:rsid w:val="00201E2B"/>
    <w:rsid w:val="00237E0B"/>
    <w:rsid w:val="00252038"/>
    <w:rsid w:val="002C541A"/>
    <w:rsid w:val="002F2E02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2019-04-20T16:51:00Z</dcterms:created>
  <dcterms:modified xsi:type="dcterms:W3CDTF">2019-04-20T16:51:00Z</dcterms:modified>
</cp:coreProperties>
</file>