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7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32264B" w:rsidRPr="0032264B" w:rsidTr="00E751F5">
        <w:tc>
          <w:tcPr>
            <w:tcW w:w="7792" w:type="dxa"/>
          </w:tcPr>
          <w:p w:rsidR="0032264B" w:rsidRPr="0032264B" w:rsidRDefault="0032264B" w:rsidP="0032264B">
            <w:pPr>
              <w:rPr>
                <w:rFonts w:ascii="Arial" w:hAnsi="Arial" w:cs="Arial"/>
                <w:sz w:val="24"/>
                <w:szCs w:val="24"/>
              </w:rPr>
            </w:pPr>
            <w:r w:rsidRPr="0032264B">
              <w:rPr>
                <w:rFonts w:ascii="Arial" w:hAnsi="Arial" w:cs="Arial"/>
                <w:sz w:val="24"/>
                <w:szCs w:val="24"/>
              </w:rPr>
              <w:t>Intravasale Katheter  und Infusionstherapie</w:t>
            </w:r>
          </w:p>
        </w:tc>
        <w:tc>
          <w:tcPr>
            <w:tcW w:w="1270" w:type="dxa"/>
          </w:tcPr>
          <w:p w:rsidR="0032264B" w:rsidRPr="0032264B" w:rsidRDefault="0032264B" w:rsidP="003226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264B">
              <w:rPr>
                <w:rFonts w:ascii="Arial" w:hAnsi="Arial" w:cs="Arial"/>
                <w:sz w:val="24"/>
                <w:szCs w:val="24"/>
              </w:rPr>
              <w:t>O2R11.9</w:t>
            </w:r>
          </w:p>
        </w:tc>
      </w:tr>
    </w:tbl>
    <w:p w:rsidR="0032264B" w:rsidRPr="0032264B" w:rsidRDefault="0032264B" w:rsidP="0032264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2264B" w:rsidRPr="0032264B" w:rsidRDefault="0032264B" w:rsidP="003226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264B">
        <w:rPr>
          <w:rFonts w:ascii="Arial" w:hAnsi="Arial" w:cs="Arial"/>
          <w:sz w:val="24"/>
          <w:szCs w:val="24"/>
        </w:rPr>
        <w:t xml:space="preserve">Bei der Anlage und Versorgung von intravasalen Kathetern müssen alle für die Versorgung von Patienten in Krankenhäusern / Heime etablierten Hygienemaßnahmen beachtet werden. </w:t>
      </w:r>
    </w:p>
    <w:p w:rsidR="0032264B" w:rsidRPr="0032264B" w:rsidRDefault="0032264B" w:rsidP="003226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264B" w:rsidRPr="0032264B" w:rsidRDefault="0032264B" w:rsidP="003226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264B">
        <w:rPr>
          <w:rFonts w:ascii="Arial" w:hAnsi="Arial" w:cs="Arial"/>
          <w:sz w:val="24"/>
          <w:szCs w:val="24"/>
        </w:rPr>
        <w:t>Insbesondere sind Händedesinfektion, sorgfältige Hautantiseptik vor der Punktion und Non-</w:t>
      </w:r>
      <w:proofErr w:type="spellStart"/>
      <w:r w:rsidRPr="0032264B">
        <w:rPr>
          <w:rFonts w:ascii="Arial" w:hAnsi="Arial" w:cs="Arial"/>
          <w:sz w:val="24"/>
          <w:szCs w:val="24"/>
        </w:rPr>
        <w:t>touch</w:t>
      </w:r>
      <w:proofErr w:type="spellEnd"/>
      <w:r w:rsidRPr="0032264B">
        <w:rPr>
          <w:rFonts w:ascii="Arial" w:hAnsi="Arial" w:cs="Arial"/>
          <w:sz w:val="24"/>
          <w:szCs w:val="24"/>
        </w:rPr>
        <w:t xml:space="preserve">-Technik beim Verbandswechsel wichtig. </w:t>
      </w:r>
    </w:p>
    <w:p w:rsidR="0032264B" w:rsidRPr="0032264B" w:rsidRDefault="0032264B" w:rsidP="003226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2264B" w:rsidRPr="0032264B" w:rsidRDefault="0032264B" w:rsidP="003226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264B">
        <w:rPr>
          <w:rFonts w:ascii="Arial" w:hAnsi="Arial" w:cs="Arial"/>
          <w:sz w:val="24"/>
          <w:szCs w:val="24"/>
        </w:rPr>
        <w:t xml:space="preserve">Eine hygienische Händedesinfektion ist vor Kontakt mit aseptisch zu handhabenden Materialien, vor </w:t>
      </w:r>
      <w:proofErr w:type="spellStart"/>
      <w:r w:rsidRPr="0032264B">
        <w:rPr>
          <w:rFonts w:ascii="Arial" w:hAnsi="Arial" w:cs="Arial"/>
          <w:sz w:val="24"/>
          <w:szCs w:val="24"/>
        </w:rPr>
        <w:t>Konnektion</w:t>
      </w:r>
      <w:proofErr w:type="spellEnd"/>
      <w:r w:rsidRPr="0032264B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2264B">
        <w:rPr>
          <w:rFonts w:ascii="Arial" w:hAnsi="Arial" w:cs="Arial"/>
          <w:sz w:val="24"/>
          <w:szCs w:val="24"/>
        </w:rPr>
        <w:t>Diskonnektion</w:t>
      </w:r>
      <w:proofErr w:type="spellEnd"/>
      <w:r w:rsidRPr="0032264B">
        <w:rPr>
          <w:rFonts w:ascii="Arial" w:hAnsi="Arial" w:cs="Arial"/>
          <w:sz w:val="24"/>
          <w:szCs w:val="24"/>
        </w:rPr>
        <w:t xml:space="preserve"> des Infusionssystems, vor dem </w:t>
      </w:r>
      <w:proofErr w:type="spellStart"/>
      <w:r w:rsidRPr="0032264B">
        <w:rPr>
          <w:rFonts w:ascii="Arial" w:hAnsi="Arial" w:cs="Arial"/>
          <w:sz w:val="24"/>
          <w:szCs w:val="24"/>
        </w:rPr>
        <w:t>Zuspritzen</w:t>
      </w:r>
      <w:proofErr w:type="spellEnd"/>
      <w:r w:rsidRPr="0032264B">
        <w:rPr>
          <w:rFonts w:ascii="Arial" w:hAnsi="Arial" w:cs="Arial"/>
          <w:sz w:val="24"/>
          <w:szCs w:val="24"/>
        </w:rPr>
        <w:t xml:space="preserve"> von Arzneimitteln erforderlich.</w:t>
      </w:r>
    </w:p>
    <w:p w:rsidR="0022580B" w:rsidRPr="0022580B" w:rsidRDefault="0022580B" w:rsidP="000B5DF3">
      <w:pPr>
        <w:rPr>
          <w:lang w:bidi="hi-IN"/>
        </w:rPr>
      </w:pPr>
    </w:p>
    <w:sectPr w:rsidR="0022580B" w:rsidRPr="00225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2C85"/>
    <w:rsid w:val="000335A9"/>
    <w:rsid w:val="000B5DF3"/>
    <w:rsid w:val="000D2A43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C541A"/>
    <w:rsid w:val="002F2E02"/>
    <w:rsid w:val="0032264B"/>
    <w:rsid w:val="003C1EC6"/>
    <w:rsid w:val="003F2BE2"/>
    <w:rsid w:val="0042321D"/>
    <w:rsid w:val="004E5F64"/>
    <w:rsid w:val="004F5847"/>
    <w:rsid w:val="00511BE2"/>
    <w:rsid w:val="005F7FF6"/>
    <w:rsid w:val="006140C7"/>
    <w:rsid w:val="006164F9"/>
    <w:rsid w:val="006A5205"/>
    <w:rsid w:val="0072715D"/>
    <w:rsid w:val="007A483C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B74126"/>
    <w:rsid w:val="00CB3A6C"/>
    <w:rsid w:val="00D06553"/>
    <w:rsid w:val="00D13407"/>
    <w:rsid w:val="00D45F89"/>
    <w:rsid w:val="00D906D2"/>
    <w:rsid w:val="00ED072D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2019-04-20T16:54:00Z</dcterms:created>
  <dcterms:modified xsi:type="dcterms:W3CDTF">2019-04-20T16:54:00Z</dcterms:modified>
</cp:coreProperties>
</file>