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enraster24"/>
        <w:tblW w:w="0" w:type="auto"/>
        <w:tblLook w:val="04A0" w:firstRow="1" w:lastRow="0" w:firstColumn="1" w:lastColumn="0" w:noHBand="0" w:noVBand="1"/>
      </w:tblPr>
      <w:tblGrid>
        <w:gridCol w:w="7792"/>
        <w:gridCol w:w="1270"/>
      </w:tblGrid>
      <w:tr w:rsidR="003830CD" w:rsidRPr="003830CD" w:rsidTr="00E751F5">
        <w:tc>
          <w:tcPr>
            <w:tcW w:w="7792" w:type="dxa"/>
          </w:tcPr>
          <w:p w:rsidR="003830CD" w:rsidRPr="003830CD" w:rsidRDefault="003830CD" w:rsidP="003830CD">
            <w:pPr>
              <w:rPr>
                <w:rFonts w:ascii="Arial" w:hAnsi="Arial" w:cs="Arial"/>
                <w:sz w:val="24"/>
                <w:szCs w:val="24"/>
              </w:rPr>
            </w:pPr>
            <w:r w:rsidRPr="003830CD">
              <w:rPr>
                <w:rFonts w:ascii="Arial" w:hAnsi="Arial" w:cs="Arial"/>
                <w:sz w:val="24"/>
                <w:szCs w:val="24"/>
              </w:rPr>
              <w:t>Hygienemaßnahmen bei ESBL-bildende Bakterien, MRGN, VRE</w:t>
            </w:r>
          </w:p>
        </w:tc>
        <w:tc>
          <w:tcPr>
            <w:tcW w:w="1270" w:type="dxa"/>
          </w:tcPr>
          <w:p w:rsidR="003830CD" w:rsidRPr="003830CD" w:rsidRDefault="003830CD" w:rsidP="003830C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30CD">
              <w:rPr>
                <w:rFonts w:ascii="Arial" w:hAnsi="Arial" w:cs="Arial"/>
                <w:sz w:val="24"/>
                <w:szCs w:val="24"/>
              </w:rPr>
              <w:t>O2R13.2</w:t>
            </w:r>
          </w:p>
        </w:tc>
      </w:tr>
    </w:tbl>
    <w:p w:rsidR="003830CD" w:rsidRPr="003830CD" w:rsidRDefault="003830CD" w:rsidP="003830CD">
      <w:pPr>
        <w:spacing w:after="0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Neben MRSA können auch weitere Bakterien, wie z.B.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Pseudomonas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-,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Klebsiella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- oder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Acinetobacter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-Spezies als multiresistente Infektionserreger in Erscheinung treten. Hervorzuheben sind ESBL-bildende Bakterien und VRE.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ESBL-bildende Bakterien (MRGN, 3MRGN, 4MRGN)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ESBL steht als Abkürzung für die Eigenschaft unterschiedlicher gramnegativer Stäbchenbakterien, die Antibiotika-inaktivierende Substanz Extended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Spectrum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Beta-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Lactamase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bilden zu können. Diese Eigenschaft kann über Erbsubstanz-Partikel zwischen unterschiedlichen Bakterienarten weitergegeben werden.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ESBL-bildende Bakterien sind sogenannte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Enterobakterien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, die üblicherweise im menschlichen Darm oder am Genitale als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Normalflora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angesiedelt sind. Bakterien bei denen diese Resistenzeigenschaft vorliegen kann, sind z.B. E. coli,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Klebsiella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-, Proteus-,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Serratia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-,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Enterobacter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-,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Hafnia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-,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Citrobacter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-, und Salmonella- Arten. Ob und in welcher Ausprägung bei ESBL-bildenden Bakterien eine Multiresistenz vorliegt ist variabel. Entsprechend ihrer Herkunft sind Kontaminationen beim Umgang mit Fäkalien oder Urin am wahrscheinlichsten.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ESBL-bildende Bakterien sind wie MRSA nicht zwingend krankmachend, sondern werden in einem Altenheim sehr viel eher kolonisieren. Als Kolonisationskeim sind sie im Darm vorzufinden. Als Infektionserreger können sie Harnwegs-, Wund- und Atemweginfektionen verursachen. Auch hier besteht ein großer Zusammenhang mit invasiven Maßnahmen wie Katheterisierungen, Beatmungen oder Operationen.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 xml:space="preserve">VRE (= </w:t>
      </w:r>
      <w:proofErr w:type="spellStart"/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Vancomycin</w:t>
      </w:r>
      <w:proofErr w:type="spellEnd"/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-resistente Enterokokken)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Enterokokken sind Bestandteile der normalen Darmflora und können wie viele andere Florabestandteile im Zusammenhang mit medizinischen Maßnahmen infektionserzeugend in Erscheinung treten. Infektionsgefährdet sind insbesondere stark abwehrgeschwächte (immunsupprimierte) Personen.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Bei VRE (=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Vancomycin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-resistente Enterokokken) liegt eine Multiresistenz von Enterokokken vor. u.U. ist auch bei diesem Bakterium eine Weitergabe der Resistenzeigenschaften auf andere Bakterien möglich.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Auch bei VRE sind Kontaminationen beim Umgang mit Fäkalien oder Urin am wahrscheinlichsten.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Hygienemaßnahmen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Da bei ESBL-Bildnern oder VRE vorwiegend eine Kolonisation bez. Infektion der Harnwege und Wunden vorliegt, bestehen Unterschiede zu MRSA, da MRSA meist im Nasen-Rachenraum und auf der Haut vorzufinden ist. Dennoch können die bei MRSA notwendigen Maßnahmen auch auf ESBL-Bildner oder VRE angewandt werden. Zu beachten ist jedoch, dass bei MRSA die prinzipielle Möglichkeit einer Sanierung besteht, bei weiteren multiresistenten Erregern (3 und 4MRGN) dagegen nicht.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ind w:left="709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lastRenderedPageBreak/>
        <w:t>Hygienemaßnahmen bei 3MRGM und 4MRGN</w:t>
      </w:r>
    </w:p>
    <w:p w:rsidR="003830CD" w:rsidRPr="003830CD" w:rsidRDefault="003830CD" w:rsidP="003830CD">
      <w:pPr>
        <w:spacing w:after="0" w:line="240" w:lineRule="auto"/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</w:pPr>
    </w:p>
    <w:p w:rsidR="003830CD" w:rsidRPr="003830CD" w:rsidRDefault="003830CD" w:rsidP="003830CD">
      <w:pPr>
        <w:spacing w:after="0" w:line="240" w:lineRule="auto"/>
        <w:jc w:val="both"/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</w:pPr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>Die RKI-Empfehlung sieht spezielle, strenge Hygienemaßnahmen für alle Erregerarten mit 4MRGN</w:t>
      </w:r>
      <w:r w:rsidRPr="003830CD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 xml:space="preserve">Phänotyp vor. Für 3MRGN beschränken sich die Maßnahmen auf die Erregerarten 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Escherichiacoli</w:t>
      </w:r>
      <w:proofErr w:type="spellEnd"/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 xml:space="preserve">, 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Klebsiella</w:t>
      </w:r>
      <w:proofErr w:type="spellEnd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 xml:space="preserve"> </w:t>
      </w:r>
      <w:proofErr w:type="spellStart"/>
      <w:proofErr w:type="gram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spp</w:t>
      </w:r>
      <w:proofErr w:type="spellEnd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.</w:t>
      </w:r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>,</w:t>
      </w:r>
      <w:proofErr w:type="gramEnd"/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 xml:space="preserve"> 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Acinetobacter</w:t>
      </w:r>
      <w:proofErr w:type="spellEnd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 xml:space="preserve"> 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baumannii</w:t>
      </w:r>
      <w:proofErr w:type="spellEnd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 xml:space="preserve"> </w:t>
      </w:r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 xml:space="preserve">und 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Pseudomonas</w:t>
      </w:r>
      <w:proofErr w:type="spellEnd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 xml:space="preserve"> 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aeruginosa</w:t>
      </w:r>
      <w:proofErr w:type="spellEnd"/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>. Bei den anderen</w:t>
      </w:r>
      <w:r w:rsidRPr="003830CD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 xml:space="preserve">Erregerarten mit 3MRGN (z. B. 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Enterobacter</w:t>
      </w:r>
      <w:proofErr w:type="spellEnd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/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Citrobacter</w:t>
      </w:r>
      <w:proofErr w:type="spellEnd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/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Serratia</w:t>
      </w:r>
      <w:proofErr w:type="spellEnd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 xml:space="preserve">, Proteus </w:t>
      </w:r>
      <w:proofErr w:type="spellStart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spp</w:t>
      </w:r>
      <w:proofErr w:type="spellEnd"/>
      <w:r w:rsidRPr="003830CD">
        <w:rPr>
          <w:rFonts w:ascii="Arial" w:eastAsiaTheme="minorEastAsia" w:hAnsi="Arial" w:cs="Arial"/>
          <w:iCs/>
          <w:color w:val="000000" w:themeColor="text1"/>
          <w:kern w:val="24"/>
          <w:sz w:val="24"/>
          <w:szCs w:val="24"/>
          <w:lang w:eastAsia="de-DE"/>
        </w:rPr>
        <w:t>.</w:t>
      </w:r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>), werden keine</w:t>
      </w:r>
      <w:r w:rsidRPr="003830CD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  <w:r w:rsidRPr="003830CD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de-DE"/>
        </w:rPr>
        <w:t>über die Basishygiene hinausgehenden Hygienemaßnahmen empfohlen.</w:t>
      </w:r>
    </w:p>
    <w:p w:rsidR="003830CD" w:rsidRPr="003830CD" w:rsidRDefault="003830CD" w:rsidP="003830CD">
      <w:pPr>
        <w:spacing w:after="0" w:line="240" w:lineRule="auto"/>
        <w:ind w:left="709"/>
        <w:rPr>
          <w:rFonts w:ascii="Arial" w:eastAsia="Times New Roman" w:hAnsi="Arial" w:cs="Arial"/>
          <w:sz w:val="24"/>
          <w:szCs w:val="24"/>
          <w:lang w:eastAsia="de-DE"/>
        </w:rPr>
      </w:pPr>
    </w:p>
    <w:p w:rsidR="003830CD" w:rsidRPr="003830CD" w:rsidRDefault="003830CD" w:rsidP="003830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de-DE"/>
        </w:rPr>
      </w:pPr>
      <w:r w:rsidRPr="003830CD">
        <w:rPr>
          <w:rFonts w:ascii="Arial" w:eastAsiaTheme="minorEastAsia" w:hAnsi="Arial" w:cs="Arial"/>
          <w:bCs/>
          <w:color w:val="000000" w:themeColor="text1"/>
          <w:kern w:val="24"/>
          <w:sz w:val="24"/>
          <w:szCs w:val="24"/>
          <w:lang w:eastAsia="de-DE"/>
        </w:rPr>
        <w:t>Es kann zusammengefasst werden, dass Patienten mit 4MRGN analog der Hygienemaßnahmen</w:t>
      </w:r>
      <w:r w:rsidRPr="003830CD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  <w:r w:rsidRPr="003830CD">
        <w:rPr>
          <w:rFonts w:ascii="Arial" w:eastAsiaTheme="minorEastAsia" w:hAnsi="Arial" w:cs="Arial"/>
          <w:bCs/>
          <w:color w:val="000000" w:themeColor="text1"/>
          <w:kern w:val="24"/>
          <w:sz w:val="24"/>
          <w:szCs w:val="24"/>
          <w:lang w:eastAsia="de-DE"/>
        </w:rPr>
        <w:t xml:space="preserve">bei MRSA behandelt werden sollten und Patienten mit 3MRGN analog der ehemaligen Hygienemaßnahmen bei ESBL-Erregern mit </w:t>
      </w:r>
      <w:proofErr w:type="spellStart"/>
      <w:r w:rsidRPr="003830CD">
        <w:rPr>
          <w:rFonts w:ascii="Arial" w:eastAsiaTheme="minorEastAsia" w:hAnsi="Arial" w:cs="Arial"/>
          <w:bCs/>
          <w:color w:val="000000" w:themeColor="text1"/>
          <w:kern w:val="24"/>
          <w:sz w:val="24"/>
          <w:szCs w:val="24"/>
          <w:lang w:eastAsia="de-DE"/>
        </w:rPr>
        <w:t>Ciprofloxacin</w:t>
      </w:r>
      <w:proofErr w:type="spellEnd"/>
      <w:r w:rsidRPr="003830CD">
        <w:rPr>
          <w:rFonts w:ascii="Arial" w:eastAsiaTheme="minorEastAsia" w:hAnsi="Arial" w:cs="Arial"/>
          <w:bCs/>
          <w:color w:val="000000" w:themeColor="text1"/>
          <w:kern w:val="24"/>
          <w:sz w:val="24"/>
          <w:szCs w:val="24"/>
          <w:lang w:eastAsia="de-DE"/>
        </w:rPr>
        <w:t>-Resistenz).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ind w:left="709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Daher gelten die über die Basishygiene hinausgehenden Hygienemaßnahmen (Isolation, langärmeliger Schutzkittel, Mund-Nasen-Schutz, Screening) bei Patienten mit 4MRGN prinzipiell für alle Pflegebereiche, für 3MRGN sind diese über die Basishygiene hinausgehenden Hygienemaßnahmen nur in Risikobereichen einzuhalten (z. B. Intensivstation, Neonatologie,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Hämato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-Onkologie)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Meldepflichten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Das zuständige Gesundheitsamt ist beim Auftreten von zwei oder mehr Fällen im zeitlichen und räumlichen Zusammenhang umgehend zu informieren.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Gehäuftes Auftreten von MRGN muss immer zunächst als Ausdruck mangelnder Hygiene Betrachtet werden bis durch entsprechende epidemiologische und molekularbiologische Untersuchungen das Gegenteil gezeigt werden kann.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Händehygiene, PSA (Persönliche Schutzausstattung)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Die wichtigste Schutzmaßnahme gegen eine Weiterverbreitung von multiresistenten Gramnegativen Stäbchen zur Vorbeugung von Ausbrüchen ist die strikte Einhaltung der Standardhygiene bei Pflege- und Behandlungsmaßnahmen: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Strikte hygienische und prophylaktische Händedesinfektion seitens des Personals,</w:t>
      </w:r>
    </w:p>
    <w:p w:rsidR="003830CD" w:rsidRPr="003830CD" w:rsidRDefault="003830CD" w:rsidP="003830CD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Tragen von Schutzhandschuhen und Schutzkleidung beim Umgang mit den Patienten/Bewohnern, mit infektiösem Material und potenziell kontaminierten Gegenständen (ggf. Aufhängen der Schutzkleidung im Zimmer mit der Außenseite nach außen, Wechsel täglich und sofort bei Verschmutzung),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Anlegen eines Mund-Nasen-Schutzes vor Betreten des Zimmers: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numPr>
          <w:ilvl w:val="0"/>
          <w:numId w:val="2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bei der Versorgung ausgedehnter Wunden,</w:t>
      </w:r>
    </w:p>
    <w:p w:rsidR="003830CD" w:rsidRPr="003830CD" w:rsidRDefault="003830CD" w:rsidP="003830CD">
      <w:pPr>
        <w:widowControl w:val="0"/>
        <w:numPr>
          <w:ilvl w:val="0"/>
          <w:numId w:val="2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beim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endotrachealen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Absaugen eines besiedelten Nasen-Rachen-Raumes des Patienten/Bewohners,</w:t>
      </w:r>
    </w:p>
    <w:p w:rsidR="003830CD" w:rsidRPr="003830CD" w:rsidRDefault="003830CD" w:rsidP="003830CD">
      <w:pPr>
        <w:widowControl w:val="0"/>
        <w:numPr>
          <w:ilvl w:val="0"/>
          <w:numId w:val="2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beim Bettenmachen, wenn der Patient/Bewohner stark schuppende Haut hat,</w:t>
      </w:r>
    </w:p>
    <w:p w:rsidR="003830CD" w:rsidRPr="003830CD" w:rsidRDefault="003830CD" w:rsidP="003830CD">
      <w:pPr>
        <w:widowControl w:val="0"/>
        <w:numPr>
          <w:ilvl w:val="0"/>
          <w:numId w:val="2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Abdecken offener Wunden,</w:t>
      </w:r>
    </w:p>
    <w:p w:rsidR="003830CD" w:rsidRPr="003830CD" w:rsidRDefault="003830CD" w:rsidP="003830CD">
      <w:pPr>
        <w:widowControl w:val="0"/>
        <w:numPr>
          <w:ilvl w:val="0"/>
          <w:numId w:val="2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Harnwegskatheter sollten nur bei strenger Indikationsstellung gelegt und dabei nur geschlossene Systeme verwendet werden.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ind w:left="720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 xml:space="preserve">Isolierungsmaßnahmen 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Isolierungsmaßnahmen 4MRGN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Isolierung auf allen Stationen,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präemptive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Isolation bei Verdacht auf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Trägertum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oder Infektion (z. B. Patienten aus einem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Endemieland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), immer im Einzelzimmer.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Kohortenisolierung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bei mehreren betroffenen Patienten bei phänotypisch identischen Resistenzprofilen und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klonalen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Erregern möglich.</w:t>
      </w:r>
    </w:p>
    <w:p w:rsidR="003830CD" w:rsidRPr="003830CD" w:rsidRDefault="003830CD" w:rsidP="003830C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Ende der Isolierung nur in Absprache mit dem Hygienefachpersonal und dem Hausarzt.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Isolierungsmaßnahmen 3MRGN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numPr>
          <w:ilvl w:val="0"/>
          <w:numId w:val="4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Bei Risikopatienten und in Risikobereichen wird die Isolierung wie bei 4MRGN empfohlen.</w:t>
      </w:r>
    </w:p>
    <w:p w:rsidR="003830CD" w:rsidRPr="003830CD" w:rsidRDefault="003830CD" w:rsidP="003830CD">
      <w:pPr>
        <w:widowControl w:val="0"/>
        <w:numPr>
          <w:ilvl w:val="0"/>
          <w:numId w:val="4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Einzelzimmer-Isolierung nur in „Risikobereichen“, d. h. auf Intensivstation, Intermediate Care-Station (IMC), Neonatologie,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Hämato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-Onkologie, Dialyse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Kohortenisolierung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bei mehreren betroffenen Patienten bei phänotypisch identischen Resistenzprofilen und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klonalen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 Erregern möglich.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Isolierung der Patienten/Bewohner mit folgenden Risikofaktoren ist ebenfalls zu empfehlen bei: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erhöhter Infektionsgefährdung des Patienten/Bewohners selbst bzw. bei </w:t>
      </w:r>
    </w:p>
    <w:p w:rsidR="003830CD" w:rsidRPr="003830CD" w:rsidRDefault="003830CD" w:rsidP="003830C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Kontakt zu besonders infektionsgefährdeten Patienten/Bewohnern (Wunden, Atemwegsinfektionen,</w:t>
      </w:r>
    </w:p>
    <w:p w:rsidR="003830CD" w:rsidRPr="003830CD" w:rsidRDefault="003830CD" w:rsidP="003830C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Katheter, Sonden, Absaugen usw.),</w:t>
      </w:r>
    </w:p>
    <w:p w:rsidR="003830CD" w:rsidRPr="003830CD" w:rsidRDefault="003830CD" w:rsidP="003830C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Desorientiertheit, mangelnder Compliance (z. B. bei Kindern und dementen</w:t>
      </w:r>
    </w:p>
    <w:p w:rsidR="003830CD" w:rsidRPr="003830CD" w:rsidRDefault="003830CD" w:rsidP="003830C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Bewohnern),</w:t>
      </w:r>
    </w:p>
    <w:p w:rsidR="003830CD" w:rsidRPr="003830CD" w:rsidRDefault="003830CD" w:rsidP="003830C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mangelnder persönlicher Hygiene,</w:t>
      </w:r>
    </w:p>
    <w:p w:rsidR="003830CD" w:rsidRPr="003830CD" w:rsidRDefault="003830CD" w:rsidP="003830C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Bei Patienten mit 3MRGN-Infektion oder Kolonisation, die als Risikopatienten</w:t>
      </w:r>
    </w:p>
    <w:p w:rsidR="003830CD" w:rsidRPr="003830CD" w:rsidRDefault="003830CD" w:rsidP="003830C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oder in Risikobereichen isoliert werden, kann die Isolierung nach 3 negativen Rektalabstrichen im Verlauf von mindestens einer Woche aufgehoben werden.</w:t>
      </w:r>
    </w:p>
    <w:p w:rsidR="003830CD" w:rsidRPr="003830CD" w:rsidRDefault="003830CD" w:rsidP="003830C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Auf der „Normalstation“ Basishygiene-Maßnahmen.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Sanierung bei 3MRGN und 4MRGN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Solange keine nachvollziehbaren erfolgreichen Sanierungskonzepte vorliegen, wird aktuell von der KRINKO keine Sanierung empfohlen, weder für 3MRGN noch 4MRGN.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Sonstige Hygienemaßnahmen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Nur erfahrenes Pflegepersonal sollte diese Patienten betreuen. Die Pflege des Patienten sollte je Schicht nur durch einen zugewiesenen Mitarbeiter erfolgen.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numPr>
          <w:ilvl w:val="0"/>
          <w:numId w:val="6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Langärmeliger Schutzkittel bei allen pflegerischen Tätigkeiten, 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ind w:left="720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insbesondere beim Bettenmachen, Umlagern, während der Physiotherapie, beim Röntgen, invasiver Diagnostik im Bett.</w:t>
      </w:r>
    </w:p>
    <w:p w:rsidR="003830CD" w:rsidRPr="003830CD" w:rsidRDefault="003830CD" w:rsidP="003830CD">
      <w:pPr>
        <w:widowControl w:val="0"/>
        <w:numPr>
          <w:ilvl w:val="0"/>
          <w:numId w:val="6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Pflegeutensilien (u. a. Blutdruckmessgerät, Stethoskop, Stauschlauch, </w:t>
      </w: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lastRenderedPageBreak/>
        <w:t xml:space="preserve">Fieberthermometer) patientenbezogen einsetzen, im Zimmer belassen oder zwischen Patienten gründlich wischdesinfizieren </w:t>
      </w:r>
    </w:p>
    <w:p w:rsidR="003830CD" w:rsidRPr="003830CD" w:rsidRDefault="003830CD" w:rsidP="003830CD">
      <w:pPr>
        <w:widowControl w:val="0"/>
        <w:numPr>
          <w:ilvl w:val="0"/>
          <w:numId w:val="6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Keine große Vorratshaltung im Patientenzimmer; Pflegewagen, Pflegeschrank täglich neu bestücken.</w:t>
      </w:r>
    </w:p>
    <w:p w:rsidR="003830CD" w:rsidRPr="003830CD" w:rsidRDefault="003830CD" w:rsidP="003830CD">
      <w:pPr>
        <w:widowControl w:val="0"/>
        <w:numPr>
          <w:ilvl w:val="0"/>
          <w:numId w:val="6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Transporte im Krankenhaus bei medizinischer Indikation: Information an die Abteilung, in die der Patient transportiert werden soll, zusätzlich noch die Anforderungsscheine deutlich kennzeichnen.</w:t>
      </w:r>
    </w:p>
    <w:p w:rsidR="003830CD" w:rsidRPr="003830CD" w:rsidRDefault="003830CD" w:rsidP="003830CD">
      <w:pPr>
        <w:widowControl w:val="0"/>
        <w:numPr>
          <w:ilvl w:val="0"/>
          <w:numId w:val="6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Krankenblatt und Ambulanzkarte kennzeichnen und andere Kliniken oder Pflegeheime bei Verlegung per MRE-Überleitungsbogen informieren.</w:t>
      </w:r>
    </w:p>
    <w:p w:rsidR="003830CD" w:rsidRPr="003830CD" w:rsidRDefault="003830CD" w:rsidP="003830CD">
      <w:pPr>
        <w:widowControl w:val="0"/>
        <w:numPr>
          <w:ilvl w:val="0"/>
          <w:numId w:val="6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Diagnostische Maßnahmen - wenn möglich – ans Ende des Programms legen oder im Patientenzimmer durchführen, z. B. Röntgen, EKG, Punktionen, Endoskopie, Sonographie mit anschließender Wischdesinfektion der Geräte, die in Kontakt mit dem Patienten kamen.</w:t>
      </w:r>
    </w:p>
    <w:p w:rsidR="003830CD" w:rsidRPr="003830CD" w:rsidRDefault="003830CD" w:rsidP="003830CD">
      <w:pPr>
        <w:widowControl w:val="0"/>
        <w:numPr>
          <w:ilvl w:val="0"/>
          <w:numId w:val="6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Übliche Instrumenten-/Geräteaufbereitung ist ausreichend (s. Reinigungs- u. Desinfektionsplan).</w:t>
      </w:r>
    </w:p>
    <w:p w:rsidR="003830CD" w:rsidRPr="003830CD" w:rsidRDefault="003830CD" w:rsidP="003830CD">
      <w:pPr>
        <w:widowControl w:val="0"/>
        <w:numPr>
          <w:ilvl w:val="0"/>
          <w:numId w:val="6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Einweginstrumente sind bevorzugt einzusetzen.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Besuchermaßnahmen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 xml:space="preserve">Besucher benötigen keine routinemäßigen Schutzkittel; Händedesinfektion ist ausreichend: 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numPr>
          <w:ilvl w:val="0"/>
          <w:numId w:val="6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Vor und nach Patientenkontakt und nach Verlassen des Zimmers. Aufklärung und Anleitung von Patienten und Angehörigen durch das Pflegepersonal.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Geschirr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Übliche Aufbereitung des Essgeschirrs; das Essenstablett sollte gleich in den Containerwagen gestellt werden. Ist dies nicht möglich, verbleibt das Tablett im Patientenzimmer bis der Containerwagen wieder zur Verfügung steht, anschließend Händedesinfektion.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Wäsche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Wäscheabwurf im Zimmer (patientennah), übliche Waschverfahren über 60°C mit einem VAH gelisteten Desinfektionsmittel (keine infektiöse Wäsche).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Entsorgung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Sämtlicher Müll (z. B. auch Verbandsmaterial) als Abfall AS 18 01 04 (ehemals Gruppe B) in dicht verschließbaren Plastiksäcken zum Hausmüll, spitze und scharfe Gegenstände (AS 180101) in durchstichsicheren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Behältern: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•</w:t>
      </w: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ab/>
        <w:t>Lagerung und Transport verschlossen und kontaminationssicher.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  <w:t>Reinigung und Desinfektion von Flächen und Fußböden: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b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•</w:t>
      </w: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ab/>
        <w:t>Information und Belehrung des Reinigungsdienstes,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•</w:t>
      </w: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ab/>
        <w:t xml:space="preserve">Flächendesinfektionsverfahren zur täglichen Desinfektion und zur 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lastRenderedPageBreak/>
        <w:tab/>
        <w:t>Schlussdesinfektion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•</w:t>
      </w: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ab/>
        <w:t>mit den üblichen Mitteln und üblichen Konzentrationen,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•</w:t>
      </w: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ab/>
        <w:t>Reinigung der Zimmer mit MRGN-Trägern immer am Ende eines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Reinigungsdurchganges,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•</w:t>
      </w: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ab/>
        <w:t xml:space="preserve">Im Patienten-/Bewohnerzimmer täglich wischend desinfizieren, bei 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ab/>
        <w:t>Kontamination sofort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•</w:t>
      </w: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ab/>
        <w:t>bei Patientenwechsel ist eine Schlussreinigung/-desinfektion als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Scheuer-/Wischdesinfektion durchzuführen.</w:t>
      </w:r>
    </w:p>
    <w:p w:rsidR="003830CD" w:rsidRPr="003830CD" w:rsidRDefault="003830CD" w:rsidP="003830CD">
      <w:pPr>
        <w:widowControl w:val="0"/>
        <w:suppressAutoHyphens/>
        <w:autoSpaceDN w:val="0"/>
        <w:spacing w:after="0" w:line="240" w:lineRule="auto"/>
        <w:ind w:left="708" w:hanging="708"/>
        <w:jc w:val="both"/>
        <w:textAlignment w:val="baseline"/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</w:pP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•</w:t>
      </w:r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ab/>
        <w:t xml:space="preserve">Bettendienst: PSA (Schutzkleidung </w:t>
      </w:r>
      <w:proofErr w:type="spellStart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langarm</w:t>
      </w:r>
      <w:proofErr w:type="spellEnd"/>
      <w:r w:rsidRPr="003830CD">
        <w:rPr>
          <w:rFonts w:ascii="Arial" w:eastAsia="Droid Sans Fallback" w:hAnsi="Arial" w:cs="Lohit Hindi"/>
          <w:kern w:val="3"/>
          <w:sz w:val="24"/>
          <w:szCs w:val="24"/>
          <w:lang w:eastAsia="zh-CN" w:bidi="hi-IN"/>
        </w:rPr>
        <w:t>, Mundschutz, Handschuhe beim Abrüsten der Betten tragen.</w:t>
      </w:r>
    </w:p>
    <w:p w:rsidR="00714B15" w:rsidRPr="00714B15" w:rsidRDefault="00714B15" w:rsidP="003830CD"/>
    <w:sectPr w:rsidR="00714B15" w:rsidRPr="00714B1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02F26"/>
    <w:multiLevelType w:val="hybridMultilevel"/>
    <w:tmpl w:val="ED3A72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02734"/>
    <w:multiLevelType w:val="hybridMultilevel"/>
    <w:tmpl w:val="D08E62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4E3C5F"/>
    <w:multiLevelType w:val="hybridMultilevel"/>
    <w:tmpl w:val="A6BAA0A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9E0569"/>
    <w:multiLevelType w:val="hybridMultilevel"/>
    <w:tmpl w:val="0FA8128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1025DE"/>
    <w:multiLevelType w:val="hybridMultilevel"/>
    <w:tmpl w:val="63506CC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3F7697"/>
    <w:multiLevelType w:val="hybridMultilevel"/>
    <w:tmpl w:val="7DFEDE4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2"/>
  </w:num>
  <w:num w:numId="6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A6C"/>
    <w:rsid w:val="00032C85"/>
    <w:rsid w:val="000335A9"/>
    <w:rsid w:val="00085691"/>
    <w:rsid w:val="000B5DF3"/>
    <w:rsid w:val="000D2A43"/>
    <w:rsid w:val="000F2068"/>
    <w:rsid w:val="000F5053"/>
    <w:rsid w:val="000F5890"/>
    <w:rsid w:val="00107F85"/>
    <w:rsid w:val="001205B9"/>
    <w:rsid w:val="00151324"/>
    <w:rsid w:val="0015282A"/>
    <w:rsid w:val="001C6FAA"/>
    <w:rsid w:val="00201E2B"/>
    <w:rsid w:val="0022580B"/>
    <w:rsid w:val="00237E0B"/>
    <w:rsid w:val="00252038"/>
    <w:rsid w:val="00266363"/>
    <w:rsid w:val="002C541A"/>
    <w:rsid w:val="002C7F2F"/>
    <w:rsid w:val="002F2E02"/>
    <w:rsid w:val="0032264B"/>
    <w:rsid w:val="00377240"/>
    <w:rsid w:val="003830CD"/>
    <w:rsid w:val="003C1EC6"/>
    <w:rsid w:val="003F2BE2"/>
    <w:rsid w:val="0042321D"/>
    <w:rsid w:val="004436EC"/>
    <w:rsid w:val="004E5F64"/>
    <w:rsid w:val="004F5847"/>
    <w:rsid w:val="00511BE2"/>
    <w:rsid w:val="005F7FF6"/>
    <w:rsid w:val="006140C7"/>
    <w:rsid w:val="006164F9"/>
    <w:rsid w:val="006A5205"/>
    <w:rsid w:val="006E20E2"/>
    <w:rsid w:val="00714B15"/>
    <w:rsid w:val="0072715D"/>
    <w:rsid w:val="00772088"/>
    <w:rsid w:val="007A483C"/>
    <w:rsid w:val="008840C7"/>
    <w:rsid w:val="00892DFE"/>
    <w:rsid w:val="008A5343"/>
    <w:rsid w:val="008B7CED"/>
    <w:rsid w:val="00914206"/>
    <w:rsid w:val="0097326A"/>
    <w:rsid w:val="009D16E0"/>
    <w:rsid w:val="009E113A"/>
    <w:rsid w:val="00A05754"/>
    <w:rsid w:val="00A2430F"/>
    <w:rsid w:val="00A26D50"/>
    <w:rsid w:val="00A51658"/>
    <w:rsid w:val="00A55977"/>
    <w:rsid w:val="00AF7E88"/>
    <w:rsid w:val="00B74126"/>
    <w:rsid w:val="00C76377"/>
    <w:rsid w:val="00CB3A6C"/>
    <w:rsid w:val="00D06553"/>
    <w:rsid w:val="00D13407"/>
    <w:rsid w:val="00D45F89"/>
    <w:rsid w:val="00D4610A"/>
    <w:rsid w:val="00D906D2"/>
    <w:rsid w:val="00ED072D"/>
    <w:rsid w:val="00EF3A00"/>
    <w:rsid w:val="00F0182D"/>
    <w:rsid w:val="00F3054E"/>
    <w:rsid w:val="00F81B5F"/>
    <w:rsid w:val="00F977BE"/>
    <w:rsid w:val="00FA5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0DE558-2743-4821-8F4E-408DD76B0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D072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CB3A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">
    <w:name w:val="Tabellenraster1"/>
    <w:basedOn w:val="NormaleTabelle"/>
    <w:next w:val="Tabellenraster"/>
    <w:uiPriority w:val="39"/>
    <w:rsid w:val="00CB3A6C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Droid Sans Fallback" w:hAnsi="Arial" w:cs="Lohit Hindi"/>
      <w:kern w:val="3"/>
      <w:sz w:val="24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CB3A6C"/>
    <w:pPr>
      <w:ind w:left="720"/>
      <w:contextualSpacing/>
    </w:pPr>
  </w:style>
  <w:style w:type="table" w:customStyle="1" w:styleId="Tabellenraster2">
    <w:name w:val="Tabellenraster2"/>
    <w:basedOn w:val="NormaleTabelle"/>
    <w:next w:val="Tabellenraster"/>
    <w:uiPriority w:val="39"/>
    <w:rsid w:val="00CB3A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21">
    <w:name w:val="Tabellenraster21"/>
    <w:basedOn w:val="NormaleTabelle"/>
    <w:next w:val="Tabellenraster"/>
    <w:uiPriority w:val="39"/>
    <w:rsid w:val="00CB3A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3">
    <w:name w:val="Tabellenraster3"/>
    <w:basedOn w:val="NormaleTabelle"/>
    <w:next w:val="Tabellenraster"/>
    <w:uiPriority w:val="39"/>
    <w:rsid w:val="00CB3A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semiHidden/>
    <w:unhideWhenUsed/>
    <w:rsid w:val="00201E2B"/>
    <w:pPr>
      <w:spacing w:after="285" w:line="240" w:lineRule="auto"/>
    </w:pPr>
    <w:rPr>
      <w:rFonts w:ascii="Trebuchet MS" w:eastAsia="Times New Roman" w:hAnsi="Trebuchet MS" w:cs="Times New Roman"/>
      <w:sz w:val="20"/>
      <w:szCs w:val="20"/>
      <w:lang w:eastAsia="de-DE"/>
    </w:rPr>
  </w:style>
  <w:style w:type="table" w:customStyle="1" w:styleId="Tabellenraster4">
    <w:name w:val="Tabellenraster4"/>
    <w:basedOn w:val="NormaleTabelle"/>
    <w:next w:val="Tabellenraster"/>
    <w:uiPriority w:val="39"/>
    <w:rsid w:val="00032C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5">
    <w:name w:val="Tabellenraster5"/>
    <w:basedOn w:val="NormaleTabelle"/>
    <w:next w:val="Tabellenraster"/>
    <w:uiPriority w:val="39"/>
    <w:rsid w:val="004E5F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6">
    <w:name w:val="Tabellenraster6"/>
    <w:basedOn w:val="NormaleTabelle"/>
    <w:next w:val="Tabellenraster"/>
    <w:uiPriority w:val="39"/>
    <w:rsid w:val="002258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7">
    <w:name w:val="Tabellenraster7"/>
    <w:basedOn w:val="NormaleTabelle"/>
    <w:next w:val="Tabellenraster"/>
    <w:uiPriority w:val="39"/>
    <w:rsid w:val="00322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8">
    <w:name w:val="Tabellenraster8"/>
    <w:basedOn w:val="NormaleTabelle"/>
    <w:next w:val="Tabellenraster"/>
    <w:uiPriority w:val="39"/>
    <w:rsid w:val="000F20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9">
    <w:name w:val="Tabellenraster9"/>
    <w:basedOn w:val="NormaleTabelle"/>
    <w:next w:val="Tabellenraster"/>
    <w:uiPriority w:val="39"/>
    <w:rsid w:val="00F977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0">
    <w:name w:val="Tabellenraster10"/>
    <w:basedOn w:val="NormaleTabelle"/>
    <w:next w:val="Tabellenraster"/>
    <w:uiPriority w:val="39"/>
    <w:rsid w:val="00377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1">
    <w:name w:val="Tabellenraster11"/>
    <w:basedOn w:val="NormaleTabelle"/>
    <w:next w:val="Tabellenraster"/>
    <w:uiPriority w:val="39"/>
    <w:rsid w:val="000856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2">
    <w:name w:val="Tabellenraster12"/>
    <w:basedOn w:val="NormaleTabelle"/>
    <w:next w:val="Tabellenraster"/>
    <w:uiPriority w:val="39"/>
    <w:rsid w:val="00AF7E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3">
    <w:name w:val="Tabellenraster13"/>
    <w:basedOn w:val="NormaleTabelle"/>
    <w:next w:val="Tabellenraster"/>
    <w:uiPriority w:val="39"/>
    <w:rsid w:val="002C7F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4">
    <w:name w:val="Tabellenraster14"/>
    <w:basedOn w:val="NormaleTabelle"/>
    <w:next w:val="Tabellenraster"/>
    <w:uiPriority w:val="39"/>
    <w:rsid w:val="00772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5">
    <w:name w:val="Tabellenraster15"/>
    <w:basedOn w:val="NormaleTabelle"/>
    <w:next w:val="Tabellenraster"/>
    <w:uiPriority w:val="39"/>
    <w:rsid w:val="006E20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6">
    <w:name w:val="Tabellenraster16"/>
    <w:basedOn w:val="NormaleTabelle"/>
    <w:next w:val="Tabellenraster"/>
    <w:uiPriority w:val="39"/>
    <w:rsid w:val="00892D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7">
    <w:name w:val="Tabellenraster17"/>
    <w:basedOn w:val="NormaleTabelle"/>
    <w:next w:val="Tabellenraster"/>
    <w:uiPriority w:val="39"/>
    <w:rsid w:val="008840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8">
    <w:name w:val="Tabellenraster18"/>
    <w:basedOn w:val="NormaleTabelle"/>
    <w:next w:val="Tabellenraster"/>
    <w:uiPriority w:val="39"/>
    <w:rsid w:val="00FA5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9">
    <w:name w:val="Tabellenraster19"/>
    <w:basedOn w:val="NormaleTabelle"/>
    <w:next w:val="Tabellenraster"/>
    <w:uiPriority w:val="39"/>
    <w:rsid w:val="00443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20">
    <w:name w:val="Tabellenraster20"/>
    <w:basedOn w:val="NormaleTabelle"/>
    <w:next w:val="Tabellenraster"/>
    <w:uiPriority w:val="39"/>
    <w:rsid w:val="00C763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22">
    <w:name w:val="Tabellenraster22"/>
    <w:basedOn w:val="NormaleTabelle"/>
    <w:next w:val="Tabellenraster"/>
    <w:uiPriority w:val="39"/>
    <w:rsid w:val="00D461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23">
    <w:name w:val="Tabellenraster23"/>
    <w:basedOn w:val="NormaleTabelle"/>
    <w:next w:val="Tabellenraster"/>
    <w:uiPriority w:val="39"/>
    <w:rsid w:val="00714B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24">
    <w:name w:val="Tabellenraster24"/>
    <w:basedOn w:val="NormaleTabelle"/>
    <w:next w:val="Tabellenraster"/>
    <w:uiPriority w:val="39"/>
    <w:rsid w:val="003830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1347</Words>
  <Characters>8489</Characters>
  <Application>Microsoft Office Word</Application>
  <DocSecurity>0</DocSecurity>
  <Lines>70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Joachim Seitz</dc:creator>
  <cp:keywords/>
  <dc:description/>
  <cp:lastModifiedBy>Joachim Seitz</cp:lastModifiedBy>
  <cp:revision>2</cp:revision>
  <cp:lastPrinted>2019-04-20T15:47:00Z</cp:lastPrinted>
  <dcterms:created xsi:type="dcterms:W3CDTF">2019-04-20T17:23:00Z</dcterms:created>
  <dcterms:modified xsi:type="dcterms:W3CDTF">2019-04-20T17:23:00Z</dcterms:modified>
</cp:coreProperties>
</file>