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32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584F9A" w:rsidRPr="00584F9A" w:rsidTr="00E751F5">
        <w:tc>
          <w:tcPr>
            <w:tcW w:w="7792" w:type="dxa"/>
          </w:tcPr>
          <w:p w:rsidR="00584F9A" w:rsidRPr="00584F9A" w:rsidRDefault="00584F9A" w:rsidP="00584F9A">
            <w:pPr>
              <w:rPr>
                <w:rFonts w:ascii="Arial" w:hAnsi="Arial" w:cs="Arial"/>
                <w:sz w:val="24"/>
                <w:szCs w:val="24"/>
              </w:rPr>
            </w:pPr>
            <w:r w:rsidRPr="00584F9A">
              <w:rPr>
                <w:rFonts w:ascii="Arial" w:hAnsi="Arial" w:cs="Arial"/>
                <w:sz w:val="24"/>
                <w:szCs w:val="24"/>
              </w:rPr>
              <w:t>Hygienemaßnahmen NORO - ROTA Viren</w:t>
            </w:r>
          </w:p>
        </w:tc>
        <w:tc>
          <w:tcPr>
            <w:tcW w:w="1270" w:type="dxa"/>
          </w:tcPr>
          <w:p w:rsidR="00584F9A" w:rsidRPr="00584F9A" w:rsidRDefault="00584F9A" w:rsidP="00584F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F9A">
              <w:rPr>
                <w:rFonts w:ascii="Arial" w:hAnsi="Arial" w:cs="Arial"/>
                <w:sz w:val="24"/>
                <w:szCs w:val="24"/>
              </w:rPr>
              <w:t>O2R13.4</w:t>
            </w:r>
          </w:p>
        </w:tc>
      </w:tr>
    </w:tbl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 xml:space="preserve">Noroviren. Vereinfachte mikrobiologische Nachweisverfahren haben die weite Verbreitung und das epidemische Potenzial von Noroviren deutlich gemacht. Insbesondere in Deutschland, Europa und Nordamerika sind Ausbrüche von Gastroenteritiden durch Noroviren beschrieben worden. 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Dabei wurde das besondere Risiko von Personen &gt;69 Jahren und von Frauen beobachtet. 85% der Ausbrüche traten in Krankenhäusern sowie Alten- und Pflegeheimen auf. Weitere Erkrankungen bzw. Erreger, die häufig zu Ausbrüchen in Heimen führen, sind: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Atemwege (Influenza, Andere respiratorische Viren)</w:t>
      </w:r>
    </w:p>
    <w:p w:rsidR="00584F9A" w:rsidRPr="00584F9A" w:rsidRDefault="00584F9A" w:rsidP="00584F9A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proofErr w:type="spellStart"/>
      <w:r w:rsidRPr="00584F9A">
        <w:rPr>
          <w:rFonts w:ascii="Arial" w:hAnsi="Arial" w:cs="Arial"/>
          <w:sz w:val="24"/>
          <w:szCs w:val="24"/>
        </w:rPr>
        <w:t>Gastrointestinaltrakt</w:t>
      </w:r>
      <w:proofErr w:type="spellEnd"/>
      <w:r w:rsidRPr="00584F9A">
        <w:rPr>
          <w:rFonts w:ascii="Arial" w:hAnsi="Arial" w:cs="Arial"/>
          <w:sz w:val="24"/>
          <w:szCs w:val="24"/>
        </w:rPr>
        <w:t xml:space="preserve"> (Virale Gastroenteritis (</w:t>
      </w:r>
      <w:proofErr w:type="spellStart"/>
      <w:r w:rsidRPr="00584F9A">
        <w:rPr>
          <w:rFonts w:ascii="Arial" w:hAnsi="Arial" w:cs="Arial"/>
          <w:sz w:val="24"/>
          <w:szCs w:val="24"/>
        </w:rPr>
        <w:t>Noro</w:t>
      </w:r>
      <w:proofErr w:type="spellEnd"/>
      <w:r w:rsidRPr="00584F9A">
        <w:rPr>
          <w:rFonts w:ascii="Arial" w:hAnsi="Arial" w:cs="Arial"/>
          <w:sz w:val="24"/>
          <w:szCs w:val="24"/>
        </w:rPr>
        <w:t xml:space="preserve">-, </w:t>
      </w:r>
      <w:proofErr w:type="spellStart"/>
      <w:r w:rsidRPr="00584F9A">
        <w:rPr>
          <w:rFonts w:ascii="Arial" w:hAnsi="Arial" w:cs="Arial"/>
          <w:sz w:val="24"/>
          <w:szCs w:val="24"/>
        </w:rPr>
        <w:t>Rotaviren</w:t>
      </w:r>
      <w:proofErr w:type="spellEnd"/>
      <w:r w:rsidRPr="00584F9A">
        <w:rPr>
          <w:rFonts w:ascii="Arial" w:hAnsi="Arial" w:cs="Arial"/>
          <w:sz w:val="24"/>
          <w:szCs w:val="24"/>
        </w:rPr>
        <w:t>) ,Salmonellen-Infektionen, S.-</w:t>
      </w:r>
      <w:proofErr w:type="spellStart"/>
      <w:r w:rsidRPr="00584F9A">
        <w:rPr>
          <w:rFonts w:ascii="Arial" w:hAnsi="Arial" w:cs="Arial"/>
          <w:sz w:val="24"/>
          <w:szCs w:val="24"/>
        </w:rPr>
        <w:t>aureus</w:t>
      </w:r>
      <w:proofErr w:type="spellEnd"/>
      <w:r w:rsidRPr="00584F9A">
        <w:rPr>
          <w:rFonts w:ascii="Arial" w:hAnsi="Arial" w:cs="Arial"/>
          <w:sz w:val="24"/>
          <w:szCs w:val="24"/>
        </w:rPr>
        <w:t>-Lebensmittelintoxikation</w:t>
      </w:r>
    </w:p>
    <w:p w:rsidR="00584F9A" w:rsidRPr="00584F9A" w:rsidRDefault="00584F9A" w:rsidP="00584F9A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Weitere Infektionen (</w:t>
      </w:r>
      <w:proofErr w:type="spellStart"/>
      <w:r w:rsidRPr="00584F9A">
        <w:rPr>
          <w:rFonts w:ascii="Arial" w:hAnsi="Arial" w:cs="Arial"/>
          <w:sz w:val="24"/>
          <w:szCs w:val="24"/>
        </w:rPr>
        <w:t>Keratokonjunctivitis</w:t>
      </w:r>
      <w:proofErr w:type="spellEnd"/>
      <w:r w:rsidRPr="00584F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4F9A">
        <w:rPr>
          <w:rFonts w:ascii="Arial" w:hAnsi="Arial" w:cs="Arial"/>
          <w:sz w:val="24"/>
          <w:szCs w:val="24"/>
        </w:rPr>
        <w:t>epidemica</w:t>
      </w:r>
      <w:proofErr w:type="spellEnd"/>
      <w:r w:rsidRPr="00584F9A">
        <w:rPr>
          <w:rFonts w:ascii="Arial" w:hAnsi="Arial" w:cs="Arial"/>
          <w:sz w:val="24"/>
          <w:szCs w:val="24"/>
        </w:rPr>
        <w:t xml:space="preserve">, Streptokokken-A-Infektionen, </w:t>
      </w:r>
      <w:proofErr w:type="spellStart"/>
      <w:r w:rsidRPr="00584F9A">
        <w:rPr>
          <w:rFonts w:ascii="Arial" w:hAnsi="Arial" w:cs="Arial"/>
          <w:sz w:val="24"/>
          <w:szCs w:val="24"/>
        </w:rPr>
        <w:t>Scabies</w:t>
      </w:r>
      <w:proofErr w:type="spellEnd"/>
      <w:r w:rsidRPr="00584F9A">
        <w:rPr>
          <w:rFonts w:ascii="Arial" w:hAnsi="Arial" w:cs="Arial"/>
          <w:sz w:val="24"/>
          <w:szCs w:val="24"/>
        </w:rPr>
        <w:t>-Befall)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Bei gehäuftem Auftreten von Infektionen ist eine Erfassung und Bewertung (</w:t>
      </w:r>
      <w:proofErr w:type="spellStart"/>
      <w:r w:rsidRPr="00584F9A">
        <w:rPr>
          <w:rFonts w:ascii="Arial" w:hAnsi="Arial" w:cs="Arial"/>
          <w:sz w:val="24"/>
          <w:szCs w:val="24"/>
        </w:rPr>
        <w:t>Surveillance</w:t>
      </w:r>
      <w:proofErr w:type="spellEnd"/>
      <w:r w:rsidRPr="00584F9A">
        <w:rPr>
          <w:rFonts w:ascii="Arial" w:hAnsi="Arial" w:cs="Arial"/>
          <w:sz w:val="24"/>
          <w:szCs w:val="24"/>
        </w:rPr>
        <w:t xml:space="preserve">) der im betreffenden Heim aufgetretenen Infektionen und/oder bestimmter auffallender Erreger (z. B. MRSA, VRE, C. </w:t>
      </w:r>
      <w:proofErr w:type="spellStart"/>
      <w:r w:rsidRPr="00584F9A">
        <w:rPr>
          <w:rFonts w:ascii="Arial" w:hAnsi="Arial" w:cs="Arial"/>
          <w:sz w:val="24"/>
          <w:szCs w:val="24"/>
        </w:rPr>
        <w:t>difficile</w:t>
      </w:r>
      <w:proofErr w:type="spellEnd"/>
      <w:r w:rsidRPr="00584F9A">
        <w:rPr>
          <w:rFonts w:ascii="Arial" w:hAnsi="Arial" w:cs="Arial"/>
          <w:sz w:val="24"/>
          <w:szCs w:val="24"/>
        </w:rPr>
        <w:t>) empfehlenswert, um ggf. die Aktivitäten der Infektionsprävention gezielt ausrichten zu können.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4F9A">
        <w:rPr>
          <w:rFonts w:ascii="Arial" w:hAnsi="Arial" w:cs="Arial"/>
          <w:b/>
          <w:sz w:val="24"/>
          <w:szCs w:val="24"/>
        </w:rPr>
        <w:t xml:space="preserve">Eigenschaften von </w:t>
      </w:r>
      <w:proofErr w:type="spellStart"/>
      <w:r w:rsidRPr="00584F9A">
        <w:rPr>
          <w:rFonts w:ascii="Arial" w:hAnsi="Arial" w:cs="Arial"/>
          <w:b/>
          <w:sz w:val="24"/>
          <w:szCs w:val="24"/>
        </w:rPr>
        <w:t>Noro</w:t>
      </w:r>
      <w:proofErr w:type="spellEnd"/>
      <w:r w:rsidRPr="00584F9A">
        <w:rPr>
          <w:rFonts w:ascii="Arial" w:hAnsi="Arial" w:cs="Arial"/>
          <w:b/>
          <w:sz w:val="24"/>
          <w:szCs w:val="24"/>
        </w:rPr>
        <w:t>-Viren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84F9A">
        <w:rPr>
          <w:rFonts w:ascii="Arial" w:hAnsi="Arial" w:cs="Arial"/>
          <w:sz w:val="24"/>
          <w:szCs w:val="24"/>
        </w:rPr>
        <w:t>Noro</w:t>
      </w:r>
      <w:proofErr w:type="spellEnd"/>
      <w:r w:rsidRPr="00584F9A">
        <w:rPr>
          <w:rFonts w:ascii="Arial" w:hAnsi="Arial" w:cs="Arial"/>
          <w:sz w:val="24"/>
          <w:szCs w:val="24"/>
        </w:rPr>
        <w:t>-Viren können hochansteckungsfähige schwere Brechdurchfälle verursachen. Die Erkrankten sind hochgradig von Austrocknung bedroht.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 xml:space="preserve">Die Inkubationszeit einer </w:t>
      </w:r>
      <w:proofErr w:type="spellStart"/>
      <w:r w:rsidRPr="00584F9A">
        <w:rPr>
          <w:rFonts w:ascii="Arial" w:hAnsi="Arial" w:cs="Arial"/>
          <w:sz w:val="24"/>
          <w:szCs w:val="24"/>
        </w:rPr>
        <w:t>Noro</w:t>
      </w:r>
      <w:proofErr w:type="spellEnd"/>
      <w:r w:rsidRPr="00584F9A">
        <w:rPr>
          <w:rFonts w:ascii="Arial" w:hAnsi="Arial" w:cs="Arial"/>
          <w:sz w:val="24"/>
          <w:szCs w:val="24"/>
        </w:rPr>
        <w:t>-Virus-Infektion beträgt 1 - 3 Tage, die Krankheitsdauer 1 - 3 Tage, die Ansteckungszeit erstreckt sich auf die Erkrankungsdauer + 48 Std. (in Einzelfällen auch darüber). Die Immunität ist ähnlich wie bei Influenza unzuverlässig.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Die Übertragung kann über direkte und indirekte Kontakte, fäkal-oral, über Lebensmittel und über Tröpfchen (durch Aerosole beim Erbrechen) erfolgen. Schon kleinste Erregermengen sind infektionsfähig.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84F9A">
        <w:rPr>
          <w:rFonts w:ascii="Arial" w:hAnsi="Arial" w:cs="Arial"/>
          <w:sz w:val="24"/>
          <w:szCs w:val="24"/>
        </w:rPr>
        <w:t>Noro</w:t>
      </w:r>
      <w:proofErr w:type="spellEnd"/>
      <w:r w:rsidRPr="00584F9A">
        <w:rPr>
          <w:rFonts w:ascii="Arial" w:hAnsi="Arial" w:cs="Arial"/>
          <w:sz w:val="24"/>
          <w:szCs w:val="24"/>
        </w:rPr>
        <w:t>-Viren sind gegen viele Desinfektionsmittel resistent. Daher müssen entsprechende RKI / VAH gelistete Desinfektionsmittel verwendet werden.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84F9A">
        <w:rPr>
          <w:rFonts w:ascii="Arial" w:hAnsi="Arial" w:cs="Arial"/>
          <w:b/>
          <w:sz w:val="24"/>
          <w:szCs w:val="24"/>
        </w:rPr>
        <w:t xml:space="preserve">Eigenschaften von </w:t>
      </w:r>
      <w:proofErr w:type="spellStart"/>
      <w:r w:rsidRPr="00584F9A">
        <w:rPr>
          <w:rFonts w:ascii="Arial" w:hAnsi="Arial" w:cs="Arial"/>
          <w:b/>
          <w:sz w:val="24"/>
          <w:szCs w:val="24"/>
        </w:rPr>
        <w:t>Rota</w:t>
      </w:r>
      <w:proofErr w:type="spellEnd"/>
      <w:r w:rsidRPr="00584F9A">
        <w:rPr>
          <w:rFonts w:ascii="Arial" w:hAnsi="Arial" w:cs="Arial"/>
          <w:b/>
          <w:sz w:val="24"/>
          <w:szCs w:val="24"/>
        </w:rPr>
        <w:t>-Viren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84F9A">
        <w:rPr>
          <w:rFonts w:ascii="Arial" w:hAnsi="Arial" w:cs="Arial"/>
          <w:sz w:val="24"/>
          <w:szCs w:val="24"/>
        </w:rPr>
        <w:t>Rota</w:t>
      </w:r>
      <w:proofErr w:type="spellEnd"/>
      <w:r w:rsidRPr="00584F9A">
        <w:rPr>
          <w:rFonts w:ascii="Arial" w:hAnsi="Arial" w:cs="Arial"/>
          <w:sz w:val="24"/>
          <w:szCs w:val="24"/>
        </w:rPr>
        <w:t>-Viren können hochansteckungsfähige Durchfallerkrankungen verursachen. Die Erkrankten sind hochgradig von Austrocknung bedroht.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 xml:space="preserve">Die Inkubationszeit beträgt bei einer </w:t>
      </w:r>
      <w:proofErr w:type="spellStart"/>
      <w:r w:rsidRPr="00584F9A">
        <w:rPr>
          <w:rFonts w:ascii="Arial" w:hAnsi="Arial" w:cs="Arial"/>
          <w:sz w:val="24"/>
          <w:szCs w:val="24"/>
        </w:rPr>
        <w:t>Rota</w:t>
      </w:r>
      <w:proofErr w:type="spellEnd"/>
      <w:r w:rsidRPr="00584F9A">
        <w:rPr>
          <w:rFonts w:ascii="Arial" w:hAnsi="Arial" w:cs="Arial"/>
          <w:sz w:val="24"/>
          <w:szCs w:val="24"/>
        </w:rPr>
        <w:t xml:space="preserve">-Virus-Infektion 1 - 3 Tage, die Krankheitsdauer 2 - 6 Tage, die Ansteckungszeit (Erregerausscheidung) bis zu 8 Tage (in Einzelfällen auch darüber). Die Immunität ist ähnlich wie bei Influenza </w:t>
      </w:r>
      <w:r w:rsidRPr="00584F9A">
        <w:rPr>
          <w:rFonts w:ascii="Arial" w:hAnsi="Arial" w:cs="Arial"/>
          <w:sz w:val="24"/>
          <w:szCs w:val="24"/>
        </w:rPr>
        <w:lastRenderedPageBreak/>
        <w:t>unzuverlässig. Die Übertragung erfolgt über direkte und indirekte Kontakte fäkal-oral. Schon kleinste Erregermengen sind infektionsfähig.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584F9A">
        <w:rPr>
          <w:rFonts w:ascii="Arial" w:hAnsi="Arial" w:cs="Arial"/>
          <w:sz w:val="24"/>
          <w:szCs w:val="24"/>
        </w:rPr>
        <w:t>Rota</w:t>
      </w:r>
      <w:proofErr w:type="spellEnd"/>
      <w:r w:rsidRPr="00584F9A">
        <w:rPr>
          <w:rFonts w:ascii="Arial" w:hAnsi="Arial" w:cs="Arial"/>
          <w:sz w:val="24"/>
          <w:szCs w:val="24"/>
        </w:rPr>
        <w:t>-Viren sind gegen viele Desinfektionsmittel resistent. Daher müssen entsprechende RKI / VAH gelistete Desinfektionsmittel verwendet werden.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rPr>
          <w:rFonts w:ascii="Arial" w:hAnsi="Arial" w:cs="Arial"/>
          <w:b/>
          <w:sz w:val="24"/>
          <w:szCs w:val="24"/>
        </w:rPr>
      </w:pPr>
      <w:r w:rsidRPr="00584F9A">
        <w:rPr>
          <w:rFonts w:ascii="Arial" w:hAnsi="Arial" w:cs="Arial"/>
          <w:b/>
          <w:sz w:val="24"/>
          <w:szCs w:val="24"/>
        </w:rPr>
        <w:t>Organisatorisches</w:t>
      </w:r>
    </w:p>
    <w:p w:rsidR="00584F9A" w:rsidRPr="00584F9A" w:rsidRDefault="00584F9A" w:rsidP="00584F9A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Jeder Fall einer infektiösen Gastroenteritis innerhalb der Haushalte von Pflegebedürftigen muss der Pflegedienstleitung zeitnah bekannt sein.</w:t>
      </w:r>
    </w:p>
    <w:p w:rsidR="00584F9A" w:rsidRPr="00584F9A" w:rsidRDefault="00584F9A" w:rsidP="00584F9A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Schwangere Mitarbeiterinnen sind von der Betreuung von erkrankten Personen ausgeschlossen.</w:t>
      </w:r>
    </w:p>
    <w:p w:rsidR="00584F9A" w:rsidRPr="00584F9A" w:rsidRDefault="00584F9A" w:rsidP="00584F9A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Erkranktes Personal wird sofort bei Einsetzen der Symptome und für die Dauer einer möglichen Ansteckungsfähigkeit vom Dienst ausgeschlossen.</w:t>
      </w:r>
    </w:p>
    <w:p w:rsidR="00584F9A" w:rsidRPr="00584F9A" w:rsidRDefault="00584F9A" w:rsidP="00584F9A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Pflegebedürftige mit infektiöser Gastroenteritis sollen möglichst zum Ende einer Schicht durch wenige und eingewiesene Personen betreut werden.</w:t>
      </w:r>
    </w:p>
    <w:p w:rsidR="00584F9A" w:rsidRPr="00584F9A" w:rsidRDefault="00584F9A" w:rsidP="00584F9A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Bei einer epidemischen Ausbreitung infektiöser Gastroenteritiden innerhalb des Personals ist seitens der Pflegedienstleitung unverzüglich der Betriebsärztliche Dienst zu informieren, der ggf. eine Meldung gemäß §6 IfSG an das Gesundheitsamt veranlasst.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Zur Versorgung Pflegebedürftiger mit infektiöser Gastroenteritis ist zusätzliches Hygienematerial notwendig, welches bei ersten Besuch im Haushalt des Betreffenden deponiert werden soll (ausreichend für eine 3-tägige Versorgung):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•</w:t>
      </w:r>
      <w:r w:rsidRPr="00584F9A">
        <w:rPr>
          <w:rFonts w:ascii="Arial" w:hAnsi="Arial" w:cs="Arial"/>
          <w:sz w:val="24"/>
          <w:szCs w:val="24"/>
        </w:rPr>
        <w:tab/>
        <w:t>3 langärmlige Einmal-Schutzkittel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•</w:t>
      </w:r>
      <w:r w:rsidRPr="00584F9A">
        <w:rPr>
          <w:rFonts w:ascii="Arial" w:hAnsi="Arial" w:cs="Arial"/>
          <w:sz w:val="24"/>
          <w:szCs w:val="24"/>
        </w:rPr>
        <w:tab/>
        <w:t>10 mehrlagige Mund-Nasen-Masken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•</w:t>
      </w:r>
      <w:r w:rsidRPr="00584F9A">
        <w:rPr>
          <w:rFonts w:ascii="Arial" w:hAnsi="Arial" w:cs="Arial"/>
          <w:sz w:val="24"/>
          <w:szCs w:val="24"/>
        </w:rPr>
        <w:tab/>
        <w:t>10 Paar Schutzhandschuhe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•</w:t>
      </w:r>
      <w:r w:rsidRPr="00584F9A">
        <w:rPr>
          <w:rFonts w:ascii="Arial" w:hAnsi="Arial" w:cs="Arial"/>
          <w:sz w:val="24"/>
          <w:szCs w:val="24"/>
        </w:rPr>
        <w:tab/>
        <w:t xml:space="preserve">3 Flaschen  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Wenn Pflegebedürftige mit einer viralen Gastroenteritis in ein Krankenhaus eingewiesen werden, sollen die behandelnden Ärzte des Krankenhauses (vorrangig vom Hausarzt) frühzeitig informiert werden. Transporte sind als Infektionstransport anzumelden.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rPr>
          <w:rFonts w:ascii="Arial" w:hAnsi="Arial" w:cs="Arial"/>
          <w:b/>
          <w:sz w:val="24"/>
          <w:szCs w:val="24"/>
        </w:rPr>
      </w:pPr>
      <w:r w:rsidRPr="00584F9A">
        <w:rPr>
          <w:rFonts w:ascii="Arial" w:hAnsi="Arial" w:cs="Arial"/>
          <w:b/>
          <w:sz w:val="24"/>
          <w:szCs w:val="24"/>
        </w:rPr>
        <w:t>Hygienemaßnahmen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Während der Zeit der Ansteckungsfähigkeit sind im Haushalt des Erkrankten bestimmte personal- und umgebungshygienische Maßnahmen durchzuführen: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rPr>
          <w:rFonts w:ascii="Arial" w:hAnsi="Arial" w:cs="Arial"/>
          <w:b/>
          <w:sz w:val="24"/>
          <w:szCs w:val="24"/>
        </w:rPr>
      </w:pPr>
      <w:r w:rsidRPr="00584F9A">
        <w:rPr>
          <w:rFonts w:ascii="Arial" w:hAnsi="Arial" w:cs="Arial"/>
          <w:b/>
          <w:sz w:val="24"/>
          <w:szCs w:val="24"/>
        </w:rPr>
        <w:t>Personalhygiene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Bei der Durchführung der Grund- und Behandlungspflege sowie bei möglichem Kontakt mit Körpersekreten und -exkrementen sind folgende PSA erforderlich: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•</w:t>
      </w:r>
      <w:r w:rsidRPr="00584F9A">
        <w:rPr>
          <w:rFonts w:ascii="Arial" w:hAnsi="Arial" w:cs="Arial"/>
          <w:sz w:val="24"/>
          <w:szCs w:val="24"/>
        </w:rPr>
        <w:tab/>
        <w:t>Schutzkittel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•</w:t>
      </w:r>
      <w:r w:rsidRPr="00584F9A">
        <w:rPr>
          <w:rFonts w:ascii="Arial" w:hAnsi="Arial" w:cs="Arial"/>
          <w:sz w:val="24"/>
          <w:szCs w:val="24"/>
        </w:rPr>
        <w:tab/>
        <w:t>Mund-Nasenschutz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•</w:t>
      </w:r>
      <w:r w:rsidRPr="00584F9A">
        <w:rPr>
          <w:rFonts w:ascii="Arial" w:hAnsi="Arial" w:cs="Arial"/>
          <w:sz w:val="24"/>
          <w:szCs w:val="24"/>
        </w:rPr>
        <w:tab/>
        <w:t xml:space="preserve">Schutzhandschuhe. </w:t>
      </w:r>
    </w:p>
    <w:p w:rsidR="00584F9A" w:rsidRPr="00584F9A" w:rsidRDefault="00584F9A" w:rsidP="00584F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lastRenderedPageBreak/>
        <w:t xml:space="preserve">Schutzkittel werden vor dem Verlassen des Zimmers ausgezogen und verbleiben im Zimmer. Die Schutzkittel werden täglich gewechselt; bei sichtbarer Kontamination sofort. 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Nach dem Ablegen der Schutzkleidung ist eine Händedesinfektion durchzuführen.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 xml:space="preserve">Zur Händedesinfektion wird ein RKI / VAH gelistetes Desinfektionsmittel verwendet. 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Eine Händedesinfektion erfolgt nach Kontakt mit: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•</w:t>
      </w:r>
      <w:r w:rsidRPr="00584F9A">
        <w:rPr>
          <w:rFonts w:ascii="Arial" w:hAnsi="Arial" w:cs="Arial"/>
          <w:sz w:val="24"/>
          <w:szCs w:val="24"/>
        </w:rPr>
        <w:tab/>
        <w:t>Stuhl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•</w:t>
      </w:r>
      <w:r w:rsidRPr="00584F9A">
        <w:rPr>
          <w:rFonts w:ascii="Arial" w:hAnsi="Arial" w:cs="Arial"/>
          <w:sz w:val="24"/>
          <w:szCs w:val="24"/>
        </w:rPr>
        <w:tab/>
        <w:t>Erbrochenem</w:t>
      </w:r>
    </w:p>
    <w:p w:rsidR="00584F9A" w:rsidRPr="00584F9A" w:rsidRDefault="00584F9A" w:rsidP="00584F9A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•</w:t>
      </w:r>
      <w:r w:rsidRPr="00584F9A">
        <w:rPr>
          <w:rFonts w:ascii="Arial" w:hAnsi="Arial" w:cs="Arial"/>
          <w:sz w:val="24"/>
          <w:szCs w:val="24"/>
        </w:rPr>
        <w:tab/>
        <w:t>erkrankten Pflegebedürftigen oder Pflegeutensilien, die für Erkrankte benutzt worden sind, auch wenn Schutzhandschuhe verwendet wurden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•</w:t>
      </w:r>
      <w:r w:rsidRPr="00584F9A">
        <w:rPr>
          <w:rFonts w:ascii="Arial" w:hAnsi="Arial" w:cs="Arial"/>
          <w:sz w:val="24"/>
          <w:szCs w:val="24"/>
        </w:rPr>
        <w:tab/>
        <w:t xml:space="preserve">sowie bei Verlassen des Haushaltes. 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Es ist eine verlängerte Einwirkzeit von   Minuten zu beachten.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Umgebungsbezogene Maßnahmen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 xml:space="preserve">Zur Flächendesinfektion wird eine </w:t>
      </w:r>
      <w:proofErr w:type="spellStart"/>
      <w:r w:rsidRPr="00584F9A">
        <w:rPr>
          <w:rFonts w:ascii="Arial" w:hAnsi="Arial" w:cs="Arial"/>
          <w:sz w:val="24"/>
          <w:szCs w:val="24"/>
        </w:rPr>
        <w:t>viruzide</w:t>
      </w:r>
      <w:proofErr w:type="spellEnd"/>
      <w:r w:rsidRPr="00584F9A">
        <w:rPr>
          <w:rFonts w:ascii="Arial" w:hAnsi="Arial" w:cs="Arial"/>
          <w:sz w:val="24"/>
          <w:szCs w:val="24"/>
        </w:rPr>
        <w:t xml:space="preserve"> Desinfektionsmittellösung (RKI / VAH Liste) verwendet:  </w:t>
      </w:r>
    </w:p>
    <w:p w:rsidR="00584F9A" w:rsidRPr="00584F9A" w:rsidRDefault="00584F9A" w:rsidP="00584F9A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Bei allen Desinfektionsarbeiten werden Schutz- bzw. Haushaltshandschuhe getragen Nach Beendigung erfolgt eine Händedesinfektion.</w:t>
      </w:r>
    </w:p>
    <w:p w:rsidR="00584F9A" w:rsidRPr="00584F9A" w:rsidRDefault="00584F9A" w:rsidP="00584F9A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Es wird davon ausgegangen, dass Pflegeutensilien und medizinisch-technische Geräte personengebunden verwendet werden. Anderenfalls sind diese Gegenstände vor ihrer Weiterverwendung einer Wischdesinfektion zu unterziehen.</w:t>
      </w:r>
    </w:p>
    <w:p w:rsidR="00584F9A" w:rsidRPr="00584F9A" w:rsidRDefault="00584F9A" w:rsidP="00584F9A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Der Sanitärbereich und weitere potentiell kontaminierte Flächen wie Griffleisten, Klinken oder Pflegeutensilien werden täglich, möglichst unter Verwendung von täglich zu wechselnden Einmaltüchern, wischdesinfiziert (RKI / VAH Liste).</w:t>
      </w:r>
    </w:p>
    <w:p w:rsidR="00584F9A" w:rsidRPr="00584F9A" w:rsidRDefault="00584F9A" w:rsidP="00584F9A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Bei einer Kontamination von Flächen mit Erbrochenem, Fäkalien etc. werden grobe Verschmutzungen zunächst mit einem Haushaltstuch (alternativ Toilettenpapier) aufgenommen, ehe eine Wischdesinfektion (RKI / VAH Liste) durchgeführt wird.</w:t>
      </w:r>
    </w:p>
    <w:p w:rsidR="00584F9A" w:rsidRPr="00584F9A" w:rsidRDefault="00584F9A" w:rsidP="00584F9A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Innerhalb der Ansteckungszeit sollte im betreffenden Haushalt möglichst kochfeste Leibwäsche und Kleidung verwendet werden. Körper- und Bettwäsche können dann bei Temperaturen von mind. 60 Grad C in der Waschmaschine aufbereitet werden.</w:t>
      </w:r>
    </w:p>
    <w:p w:rsidR="00584F9A" w:rsidRPr="00584F9A" w:rsidRDefault="00584F9A" w:rsidP="00584F9A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Kontaminierte Abfälle werden am Ort der Entstehung in kleinen Säcken gesammelt. Nach Abwurf kontaminierter Materialien sollen die kleinen Säcke sofort verschlossen und in den Restmüll werden.</w:t>
      </w:r>
    </w:p>
    <w:p w:rsidR="00584F9A" w:rsidRPr="00584F9A" w:rsidRDefault="00584F9A" w:rsidP="00584F9A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t>Die Aufbereitung des Geschirrs erfolgt auf normalem Wege (bevorzugt im Geschirrspüler).</w:t>
      </w:r>
    </w:p>
    <w:p w:rsidR="00584F9A" w:rsidRPr="00584F9A" w:rsidRDefault="00584F9A" w:rsidP="00584F9A">
      <w:pPr>
        <w:spacing w:after="0"/>
        <w:rPr>
          <w:rFonts w:ascii="Arial" w:hAnsi="Arial" w:cs="Arial"/>
          <w:sz w:val="24"/>
          <w:szCs w:val="24"/>
        </w:rPr>
      </w:pPr>
    </w:p>
    <w:p w:rsidR="00584F9A" w:rsidRPr="00584F9A" w:rsidRDefault="00584F9A" w:rsidP="00584F9A">
      <w:pPr>
        <w:numPr>
          <w:ilvl w:val="0"/>
          <w:numId w:val="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584F9A">
        <w:rPr>
          <w:rFonts w:ascii="Arial" w:hAnsi="Arial" w:cs="Arial"/>
          <w:sz w:val="24"/>
          <w:szCs w:val="24"/>
        </w:rPr>
        <w:lastRenderedPageBreak/>
        <w:t>Die Entsorgung von Fäkalien und Urin erfolgt ebenfalls in gewohnter Weise. Bei Verwendung von Steckbecken oder Urinflaschen werden diese anschließend von außen mit Haushaltspapier (alternativ Toilettenpapier) und Viruswirksamer Desinfektionslösung (RKI / VAH Liste) desinfizierend abgewischt.</w:t>
      </w:r>
    </w:p>
    <w:p w:rsidR="00714B15" w:rsidRPr="00714B15" w:rsidRDefault="00714B15" w:rsidP="00584F9A"/>
    <w:sectPr w:rsidR="00714B15" w:rsidRPr="0071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8EA"/>
    <w:multiLevelType w:val="hybridMultilevel"/>
    <w:tmpl w:val="93D27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42D8"/>
    <w:multiLevelType w:val="hybridMultilevel"/>
    <w:tmpl w:val="4F002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D05FC"/>
    <w:multiLevelType w:val="hybridMultilevel"/>
    <w:tmpl w:val="9FC0F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166BB"/>
    <w:rsid w:val="00032C85"/>
    <w:rsid w:val="000335A9"/>
    <w:rsid w:val="00085691"/>
    <w:rsid w:val="000B0338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830CD"/>
    <w:rsid w:val="003C1EC6"/>
    <w:rsid w:val="003F2BE2"/>
    <w:rsid w:val="0042321D"/>
    <w:rsid w:val="004436EC"/>
    <w:rsid w:val="004E5F64"/>
    <w:rsid w:val="004F5847"/>
    <w:rsid w:val="00511BE2"/>
    <w:rsid w:val="00584F9A"/>
    <w:rsid w:val="005D5865"/>
    <w:rsid w:val="005F7FF6"/>
    <w:rsid w:val="006140C7"/>
    <w:rsid w:val="006164F9"/>
    <w:rsid w:val="006A5205"/>
    <w:rsid w:val="006E20E2"/>
    <w:rsid w:val="00714B15"/>
    <w:rsid w:val="0072715D"/>
    <w:rsid w:val="00772088"/>
    <w:rsid w:val="00781491"/>
    <w:rsid w:val="007A483C"/>
    <w:rsid w:val="008840C7"/>
    <w:rsid w:val="00892DFE"/>
    <w:rsid w:val="008A5343"/>
    <w:rsid w:val="008B7CED"/>
    <w:rsid w:val="00914206"/>
    <w:rsid w:val="0097326A"/>
    <w:rsid w:val="009C792C"/>
    <w:rsid w:val="009D16E0"/>
    <w:rsid w:val="009E113A"/>
    <w:rsid w:val="009F3570"/>
    <w:rsid w:val="00A05754"/>
    <w:rsid w:val="00A2430F"/>
    <w:rsid w:val="00A26D50"/>
    <w:rsid w:val="00A51658"/>
    <w:rsid w:val="00A55977"/>
    <w:rsid w:val="00A81CDC"/>
    <w:rsid w:val="00AF7E88"/>
    <w:rsid w:val="00B74126"/>
    <w:rsid w:val="00B866E3"/>
    <w:rsid w:val="00C76377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7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3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6">
    <w:name w:val="Tabellenraster26"/>
    <w:basedOn w:val="NormaleTabelle"/>
    <w:next w:val="Tabellenraster"/>
    <w:uiPriority w:val="39"/>
    <w:rsid w:val="000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7">
    <w:name w:val="Tabellenraster27"/>
    <w:basedOn w:val="NormaleTabelle"/>
    <w:next w:val="Tabellenraster"/>
    <w:uiPriority w:val="39"/>
    <w:rsid w:val="005D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8">
    <w:name w:val="Tabellenraster28"/>
    <w:basedOn w:val="NormaleTabelle"/>
    <w:next w:val="Tabellenraster"/>
    <w:uiPriority w:val="39"/>
    <w:rsid w:val="00B8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9">
    <w:name w:val="Tabellenraster29"/>
    <w:basedOn w:val="NormaleTabelle"/>
    <w:next w:val="Tabellenraster"/>
    <w:uiPriority w:val="39"/>
    <w:rsid w:val="00A8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0"/>
    <w:basedOn w:val="NormaleTabelle"/>
    <w:next w:val="Tabellenraster"/>
    <w:uiPriority w:val="39"/>
    <w:rsid w:val="009C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F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uiPriority w:val="39"/>
    <w:rsid w:val="0058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2019-04-20T18:28:00Z</dcterms:created>
  <dcterms:modified xsi:type="dcterms:W3CDTF">2019-04-20T18:28:00Z</dcterms:modified>
</cp:coreProperties>
</file>